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BD1F0B">
            <w:rPr>
              <w:rStyle w:val="Style1"/>
            </w:rPr>
            <w:t>2643</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BD1F0B" w:rsidRPr="00227D57">
            <w:rPr>
              <w:rFonts w:ascii="Trebuchet MS" w:eastAsia="Times New Roman" w:hAnsi="Trebuchet MS" w:cs="Times New Roman"/>
              <w:color w:val="000000"/>
              <w:sz w:val="18"/>
              <w:szCs w:val="18"/>
              <w:lang w:val="en"/>
            </w:rPr>
            <w:t>Average change in functional status following lumbar spine fusion surgery</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10-21T00:00:00Z">
            <w:dateFormat w:val="M/d/yyyy"/>
            <w:lid w:val="en-US"/>
            <w:storeMappedDataAs w:val="dateTime"/>
            <w:calendar w:val="gregorian"/>
          </w:date>
        </w:sdtPr>
        <w:sdtEndPr>
          <w:rPr>
            <w:rStyle w:val="DefaultParagraphFont"/>
            <w:noProof/>
            <w:color w:val="auto"/>
            <w:u w:val="none"/>
          </w:rPr>
        </w:sdtEndPr>
        <w:sdtContent>
          <w:r w:rsidR="00B266BE">
            <w:rPr>
              <w:rStyle w:val="Style2"/>
              <w:rFonts w:cstheme="minorHAnsi"/>
            </w:rPr>
            <w:t>10/21/2014</w:t>
          </w:r>
        </w:sdtContent>
      </w:sdt>
    </w:p>
    <w:p w:rsidR="00CD364B" w:rsidRPr="009E1846" w:rsidRDefault="009E1846" w:rsidP="009E1846">
      <w:pPr>
        <w:spacing w:after="0"/>
        <w:rPr>
          <w:rFonts w:cstheme="minorHAnsi"/>
          <w:b/>
        </w:rPr>
      </w:pPr>
      <w:r>
        <w:rPr>
          <w:rStyle w:val="Style2"/>
          <w:rFonts w:cstheme="minorHAnsi"/>
          <w:b/>
          <w:color w:val="auto"/>
          <w:u w:val="none"/>
        </w:rPr>
        <w:t>Type of Measure:</w:t>
      </w:r>
      <w:bookmarkStart w:id="0" w:name="_GoBack"/>
      <w:bookmarkEnd w:id="0"/>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B266BE"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B266BE"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BD1F0B">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B266BE"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B266BE"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B266BE"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B266B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1"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2"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rsidR="00145149" w:rsidRPr="000F034A" w:rsidRDefault="00145149" w:rsidP="00145149">
            <w:pPr>
              <w:rPr>
                <w:rFonts w:cstheme="minorHAnsi"/>
                <w:b/>
                <w:bCs/>
              </w:rPr>
            </w:pPr>
          </w:p>
          <w:bookmarkEnd w:id="2"/>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1"/>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10" w:name="Note15"/>
            <w:bookmarkEnd w:id="10"/>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1" w:name="Note16"/>
            <w:bookmarkEnd w:id="11"/>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B266BE"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87336B">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B266B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B362E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B266BE"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B266BE"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B266BE"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B266BE"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B266BE"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87336B">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B266BE"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87336B">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B266B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B266B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B266BE"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B266BE"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C355B9" w:rsidRDefault="00C355B9"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7B1359">
            <w:rPr>
              <w:rStyle w:val="Style1"/>
            </w:rPr>
            <w:t>Patients with procedure dates 4/1/2012 to 9/30/2012 (six months) plus 15 month lag for post-op assessment to 12/31/2013</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B266BE"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B266BE"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B266BE"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87336B">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B266BE"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B266BE"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B266BE"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B266BE"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B266B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B266BE"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B266BE"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B5016" w:rsidRPr="007B1359" w:rsidRDefault="002B5016" w:rsidP="007B1359">
      <w:pPr>
        <w:spacing w:after="0" w:line="240" w:lineRule="auto"/>
        <w:rPr>
          <w:rFonts w:ascii="Trebuchet MS" w:eastAsia="Times New Roman" w:hAnsi="Trebuchet MS" w:cs="Times New Roman"/>
          <w:color w:val="1F497D" w:themeColor="text2"/>
          <w:sz w:val="18"/>
          <w:szCs w:val="18"/>
          <w:lang w:val="en"/>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r w:rsidR="007B1359">
        <w:rPr>
          <w:rFonts w:ascii="Trebuchet MS" w:eastAsia="Times New Roman" w:hAnsi="Trebuchet MS" w:cs="Times New Roman"/>
          <w:color w:val="1F497D" w:themeColor="text2"/>
          <w:sz w:val="18"/>
          <w:szCs w:val="18"/>
          <w:lang w:val="en"/>
        </w:rPr>
        <w:t xml:space="preserve">Four practices participated in the pilot testing of this specialty (orthopedic and neurosurgery) measure. </w:t>
      </w:r>
      <w:r w:rsidR="007B1359" w:rsidRPr="004908AC">
        <w:rPr>
          <w:rFonts w:ascii="Trebuchet MS" w:eastAsia="Times New Roman" w:hAnsi="Trebuchet MS" w:cs="Times New Roman"/>
          <w:color w:val="1F497D" w:themeColor="text2"/>
          <w:sz w:val="18"/>
          <w:szCs w:val="18"/>
          <w:lang w:val="en"/>
        </w:rPr>
        <w:t>Two are orthopedic spine specialty groups, one is a neurosurgical group and one is a multi-specialty practice/ health care system.  Pilot data submitted represented 25 surgeons (9 neuro, 16 ortho)</w:t>
      </w:r>
      <w:r w:rsidR="007B1359">
        <w:rPr>
          <w:rFonts w:ascii="Trebuchet MS" w:eastAsia="Times New Roman" w:hAnsi="Trebuchet MS" w:cs="Times New Roman"/>
          <w:color w:val="1F497D" w:themeColor="text2"/>
          <w:sz w:val="18"/>
          <w:szCs w:val="18"/>
          <w:lang w:val="en"/>
        </w:rPr>
        <w:t xml:space="preserve">.  </w:t>
      </w:r>
      <w:r w:rsidR="00B362E1">
        <w:rPr>
          <w:rFonts w:ascii="Trebuchet MS" w:eastAsia="Times New Roman" w:hAnsi="Trebuchet MS" w:cs="Times New Roman"/>
          <w:color w:val="1F497D" w:themeColor="text2"/>
          <w:sz w:val="18"/>
          <w:szCs w:val="18"/>
          <w:lang w:val="en"/>
        </w:rPr>
        <w:t>Please note that all these practices had an EMR in place; so this comprised the type of data used in the pilot.  Measure would also work abstracted from a paper chart based practice.</w:t>
      </w:r>
    </w:p>
    <w:p w:rsidR="007B1359" w:rsidRDefault="007B1359" w:rsidP="00DB3627">
      <w:pPr>
        <w:autoSpaceDE w:val="0"/>
        <w:autoSpaceDN w:val="0"/>
        <w:adjustRightInd w:val="0"/>
        <w:spacing w:after="0" w:line="240" w:lineRule="auto"/>
        <w:rPr>
          <w:rFonts w:cstheme="minorHAnsi"/>
          <w:b/>
          <w:bCs/>
        </w:rPr>
      </w:pPr>
    </w:p>
    <w:p w:rsidR="007B1359" w:rsidRPr="007B1359" w:rsidRDefault="002B5016" w:rsidP="007B1359">
      <w:pPr>
        <w:spacing w:after="0" w:line="240" w:lineRule="auto"/>
        <w:rPr>
          <w:rFonts w:ascii="Trebuchet MS" w:eastAsia="Times New Roman" w:hAnsi="Trebuchet MS" w:cs="Times New Roman"/>
          <w:color w:val="1F497D" w:themeColor="text2"/>
          <w:sz w:val="18"/>
          <w:szCs w:val="18"/>
          <w:lang w:val="en"/>
        </w:rPr>
      </w:pPr>
      <w:r>
        <w:rPr>
          <w:rFonts w:cstheme="minorHAnsi"/>
          <w:b/>
          <w:bCs/>
        </w:rPr>
        <w:lastRenderedPageBreak/>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7B1359">
        <w:rPr>
          <w:rFonts w:ascii="Trebuchet MS" w:eastAsia="Times New Roman" w:hAnsi="Trebuchet MS" w:cs="Times New Roman"/>
          <w:color w:val="1F497D" w:themeColor="text2"/>
          <w:sz w:val="18"/>
          <w:szCs w:val="18"/>
          <w:lang w:val="en"/>
        </w:rPr>
        <w:t xml:space="preserve">Dates of procedures were 4/1/2012 to 9/30/2012 with lag time of 15 months to allow for post-operative follow-up for all patients included in the initial patient population (March 2014).  </w:t>
      </w:r>
    </w:p>
    <w:p w:rsidR="007422FD" w:rsidRDefault="007422FD" w:rsidP="00DB3627">
      <w:pPr>
        <w:autoSpaceDE w:val="0"/>
        <w:autoSpaceDN w:val="0"/>
        <w:adjustRightInd w:val="0"/>
        <w:spacing w:after="0" w:line="240" w:lineRule="auto"/>
        <w:rPr>
          <w:rFonts w:cstheme="minorHAnsi"/>
          <w:bCs/>
        </w:rPr>
      </w:pPr>
    </w:p>
    <w:p w:rsidR="007B1359" w:rsidRDefault="007B1359" w:rsidP="007B1359">
      <w:pPr>
        <w:spacing w:after="0" w:line="240" w:lineRule="auto"/>
        <w:rPr>
          <w:rFonts w:ascii="Trebuchet MS" w:eastAsia="Times New Roman" w:hAnsi="Trebuchet MS" w:cs="Times New Roman"/>
          <w:color w:val="1F497D" w:themeColor="text2"/>
          <w:sz w:val="18"/>
          <w:szCs w:val="18"/>
          <w:lang w:val="en"/>
        </w:rPr>
      </w:pPr>
      <w:r w:rsidRPr="003B353B">
        <w:rPr>
          <w:rFonts w:ascii="Trebuchet MS" w:eastAsia="Times New Roman" w:hAnsi="Trebuchet MS" w:cs="Times New Roman"/>
          <w:color w:val="1F497D" w:themeColor="text2"/>
          <w:sz w:val="18"/>
          <w:szCs w:val="18"/>
          <w:lang w:val="en"/>
        </w:rPr>
        <w:t>Demographics of pilot patients:</w:t>
      </w:r>
    </w:p>
    <w:p w:rsidR="007B1359" w:rsidRDefault="007B1359" w:rsidP="007B1359">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N = 716</w:t>
      </w:r>
    </w:p>
    <w:p w:rsidR="007B1359" w:rsidRPr="00204DD9" w:rsidRDefault="007B1359" w:rsidP="00204DD9">
      <w:pPr>
        <w:pStyle w:val="ListParagraph"/>
        <w:numPr>
          <w:ilvl w:val="0"/>
          <w:numId w:val="34"/>
        </w:numPr>
        <w:spacing w:after="0" w:line="240" w:lineRule="auto"/>
        <w:rPr>
          <w:rFonts w:ascii="Trebuchet MS" w:eastAsia="Times New Roman" w:hAnsi="Trebuchet MS" w:cs="Times New Roman"/>
          <w:color w:val="1F497D" w:themeColor="text2"/>
          <w:sz w:val="18"/>
          <w:szCs w:val="18"/>
          <w:lang w:val="en"/>
        </w:rPr>
      </w:pPr>
      <w:r w:rsidRPr="00204DD9">
        <w:rPr>
          <w:rFonts w:ascii="Trebuchet MS" w:eastAsia="Times New Roman" w:hAnsi="Trebuchet MS" w:cs="Times New Roman"/>
          <w:color w:val="1F497D" w:themeColor="text2"/>
          <w:sz w:val="18"/>
          <w:szCs w:val="18"/>
          <w:lang w:val="en"/>
        </w:rPr>
        <w:t>57% female; 43% male</w:t>
      </w:r>
    </w:p>
    <w:p w:rsidR="007B1359" w:rsidRPr="00204DD9" w:rsidRDefault="007B1359" w:rsidP="00204DD9">
      <w:pPr>
        <w:pStyle w:val="ListParagraph"/>
        <w:numPr>
          <w:ilvl w:val="0"/>
          <w:numId w:val="34"/>
        </w:numPr>
        <w:spacing w:after="0" w:line="240" w:lineRule="auto"/>
        <w:rPr>
          <w:rFonts w:ascii="Trebuchet MS" w:eastAsia="Times New Roman" w:hAnsi="Trebuchet MS" w:cs="Times New Roman"/>
          <w:color w:val="1F497D" w:themeColor="text2"/>
          <w:sz w:val="18"/>
          <w:szCs w:val="18"/>
          <w:lang w:val="en"/>
        </w:rPr>
      </w:pPr>
      <w:r w:rsidRPr="00204DD9">
        <w:rPr>
          <w:rFonts w:ascii="Trebuchet MS" w:eastAsia="Times New Roman" w:hAnsi="Trebuchet MS" w:cs="Times New Roman"/>
          <w:color w:val="1F497D" w:themeColor="text2"/>
          <w:sz w:val="18"/>
          <w:szCs w:val="18"/>
          <w:lang w:val="en"/>
        </w:rPr>
        <w:t>Average age was 58; 34% of the patients were age 65 and older</w:t>
      </w:r>
    </w:p>
    <w:p w:rsidR="007B1359" w:rsidRPr="00204DD9" w:rsidRDefault="007B1359" w:rsidP="00204DD9">
      <w:pPr>
        <w:pStyle w:val="ListParagraph"/>
        <w:numPr>
          <w:ilvl w:val="0"/>
          <w:numId w:val="34"/>
        </w:numPr>
        <w:spacing w:after="0" w:line="240" w:lineRule="auto"/>
        <w:rPr>
          <w:rFonts w:ascii="Trebuchet MS" w:eastAsia="Times New Roman" w:hAnsi="Trebuchet MS" w:cs="Times New Roman"/>
          <w:color w:val="1F497D" w:themeColor="text2"/>
          <w:sz w:val="18"/>
          <w:szCs w:val="18"/>
          <w:lang w:val="en"/>
        </w:rPr>
      </w:pPr>
      <w:r w:rsidRPr="00204DD9">
        <w:rPr>
          <w:rFonts w:ascii="Trebuchet MS" w:eastAsia="Times New Roman" w:hAnsi="Trebuchet MS" w:cs="Times New Roman"/>
          <w:color w:val="1F497D" w:themeColor="text2"/>
          <w:sz w:val="18"/>
          <w:szCs w:val="18"/>
          <w:lang w:val="en"/>
        </w:rPr>
        <w:t>81% white, 4% non-white and 93% English as preferred language</w:t>
      </w:r>
    </w:p>
    <w:p w:rsidR="007B1359" w:rsidRPr="00204DD9" w:rsidRDefault="007B1359" w:rsidP="00204DD9">
      <w:pPr>
        <w:pStyle w:val="ListParagraph"/>
        <w:numPr>
          <w:ilvl w:val="0"/>
          <w:numId w:val="34"/>
        </w:numPr>
        <w:spacing w:after="0" w:line="240" w:lineRule="auto"/>
        <w:rPr>
          <w:rFonts w:ascii="Trebuchet MS" w:eastAsia="Times New Roman" w:hAnsi="Trebuchet MS" w:cs="Times New Roman"/>
          <w:color w:val="1F497D" w:themeColor="text2"/>
          <w:sz w:val="18"/>
          <w:szCs w:val="18"/>
          <w:lang w:val="en"/>
        </w:rPr>
      </w:pPr>
      <w:r w:rsidRPr="00204DD9">
        <w:rPr>
          <w:rFonts w:ascii="Trebuchet MS" w:eastAsia="Times New Roman" w:hAnsi="Trebuchet MS" w:cs="Times New Roman"/>
          <w:color w:val="1F497D" w:themeColor="text2"/>
          <w:sz w:val="18"/>
          <w:szCs w:val="18"/>
          <w:lang w:val="en"/>
        </w:rPr>
        <w:t>19% incidence of tobacco use with significant variation between the practices (13 to 29%)</w:t>
      </w:r>
    </w:p>
    <w:p w:rsidR="007B1359" w:rsidRPr="00204DD9" w:rsidRDefault="007B1359" w:rsidP="00204DD9">
      <w:pPr>
        <w:pStyle w:val="ListParagraph"/>
        <w:numPr>
          <w:ilvl w:val="0"/>
          <w:numId w:val="34"/>
        </w:numPr>
        <w:spacing w:after="0" w:line="240" w:lineRule="auto"/>
        <w:rPr>
          <w:rFonts w:ascii="Trebuchet MS" w:eastAsia="Times New Roman" w:hAnsi="Trebuchet MS" w:cs="Times New Roman"/>
          <w:color w:val="1F497D" w:themeColor="text2"/>
          <w:sz w:val="18"/>
          <w:szCs w:val="18"/>
          <w:lang w:val="en"/>
        </w:rPr>
      </w:pPr>
      <w:r w:rsidRPr="00204DD9">
        <w:rPr>
          <w:rFonts w:ascii="Trebuchet MS" w:eastAsia="Times New Roman" w:hAnsi="Trebuchet MS" w:cs="Times New Roman"/>
          <w:color w:val="1F497D" w:themeColor="text2"/>
          <w:sz w:val="18"/>
          <w:szCs w:val="18"/>
          <w:lang w:val="en"/>
        </w:rPr>
        <w:t>History of prior back surgery noted for 36% of the patients</w:t>
      </w:r>
    </w:p>
    <w:p w:rsidR="007B1359" w:rsidRPr="00204DD9" w:rsidRDefault="007B1359" w:rsidP="00204DD9">
      <w:pPr>
        <w:pStyle w:val="ListParagraph"/>
        <w:numPr>
          <w:ilvl w:val="0"/>
          <w:numId w:val="34"/>
        </w:numPr>
        <w:spacing w:after="0" w:line="240" w:lineRule="auto"/>
        <w:rPr>
          <w:rFonts w:ascii="Trebuchet MS" w:eastAsia="Times New Roman" w:hAnsi="Trebuchet MS" w:cs="Times New Roman"/>
          <w:color w:val="1F497D" w:themeColor="text2"/>
          <w:sz w:val="18"/>
          <w:szCs w:val="18"/>
          <w:lang w:val="en"/>
        </w:rPr>
      </w:pPr>
      <w:r w:rsidRPr="00204DD9">
        <w:rPr>
          <w:rFonts w:ascii="Trebuchet MS" w:eastAsia="Times New Roman" w:hAnsi="Trebuchet MS" w:cs="Times New Roman"/>
          <w:color w:val="1F497D" w:themeColor="text2"/>
          <w:sz w:val="18"/>
          <w:szCs w:val="18"/>
          <w:lang w:val="en"/>
        </w:rPr>
        <w:t>BMI distribution:</w:t>
      </w:r>
      <w:r w:rsidR="00204DD9">
        <w:rPr>
          <w:rFonts w:ascii="Trebuchet MS" w:eastAsia="Times New Roman" w:hAnsi="Trebuchet MS" w:cs="Times New Roman"/>
          <w:color w:val="1F497D" w:themeColor="text2"/>
          <w:sz w:val="18"/>
          <w:szCs w:val="18"/>
          <w:lang w:val="en"/>
        </w:rPr>
        <w:t xml:space="preserve"> 1%- </w:t>
      </w:r>
      <w:r w:rsidRPr="00204DD9">
        <w:rPr>
          <w:rFonts w:ascii="Trebuchet MS" w:eastAsia="Times New Roman" w:hAnsi="Trebuchet MS" w:cs="Times New Roman"/>
          <w:color w:val="1F497D" w:themeColor="text2"/>
          <w:sz w:val="18"/>
          <w:szCs w:val="18"/>
          <w:lang w:val="en"/>
        </w:rPr>
        <w:t>Underweight</w:t>
      </w:r>
      <w:r w:rsidR="00204DD9">
        <w:rPr>
          <w:rFonts w:ascii="Trebuchet MS" w:eastAsia="Times New Roman" w:hAnsi="Trebuchet MS" w:cs="Times New Roman"/>
          <w:color w:val="1F497D" w:themeColor="text2"/>
          <w:sz w:val="18"/>
          <w:szCs w:val="18"/>
          <w:lang w:val="en"/>
        </w:rPr>
        <w:t xml:space="preserve">, 17%- Healthy weight, </w:t>
      </w:r>
      <w:r w:rsidRPr="00204DD9">
        <w:rPr>
          <w:rFonts w:ascii="Trebuchet MS" w:eastAsia="Times New Roman" w:hAnsi="Trebuchet MS" w:cs="Times New Roman"/>
          <w:color w:val="1F497D" w:themeColor="text2"/>
          <w:sz w:val="18"/>
          <w:szCs w:val="18"/>
          <w:lang w:val="en"/>
        </w:rPr>
        <w:t>31%</w:t>
      </w:r>
      <w:r w:rsidR="00204DD9">
        <w:rPr>
          <w:rFonts w:ascii="Trebuchet MS" w:eastAsia="Times New Roman" w:hAnsi="Trebuchet MS" w:cs="Times New Roman"/>
          <w:color w:val="1F497D" w:themeColor="text2"/>
          <w:sz w:val="18"/>
          <w:szCs w:val="18"/>
          <w:lang w:val="en"/>
        </w:rPr>
        <w:t>-</w:t>
      </w:r>
      <w:r w:rsidRPr="00204DD9">
        <w:rPr>
          <w:rFonts w:ascii="Trebuchet MS" w:eastAsia="Times New Roman" w:hAnsi="Trebuchet MS" w:cs="Times New Roman"/>
          <w:color w:val="1F497D" w:themeColor="text2"/>
          <w:sz w:val="18"/>
          <w:szCs w:val="18"/>
          <w:lang w:val="en"/>
        </w:rPr>
        <w:tab/>
        <w:t>Grade 1 Overweight</w:t>
      </w:r>
      <w:r w:rsidR="00204DD9">
        <w:rPr>
          <w:rFonts w:ascii="Trebuchet MS" w:eastAsia="Times New Roman" w:hAnsi="Trebuchet MS" w:cs="Times New Roman"/>
          <w:color w:val="1F497D" w:themeColor="text2"/>
          <w:sz w:val="18"/>
          <w:szCs w:val="18"/>
          <w:lang w:val="en"/>
        </w:rPr>
        <w:t xml:space="preserve">, </w:t>
      </w:r>
      <w:r w:rsidRPr="00204DD9">
        <w:rPr>
          <w:rFonts w:ascii="Trebuchet MS" w:eastAsia="Times New Roman" w:hAnsi="Trebuchet MS" w:cs="Times New Roman"/>
          <w:color w:val="1F497D" w:themeColor="text2"/>
          <w:sz w:val="18"/>
          <w:szCs w:val="18"/>
          <w:lang w:val="en"/>
        </w:rPr>
        <w:t>41%</w:t>
      </w:r>
      <w:r w:rsidR="00204DD9">
        <w:rPr>
          <w:rFonts w:ascii="Trebuchet MS" w:eastAsia="Times New Roman" w:hAnsi="Trebuchet MS" w:cs="Times New Roman"/>
          <w:color w:val="1F497D" w:themeColor="text2"/>
          <w:sz w:val="18"/>
          <w:szCs w:val="18"/>
          <w:lang w:val="en"/>
        </w:rPr>
        <w:t>-</w:t>
      </w:r>
      <w:r w:rsidRPr="00204DD9">
        <w:rPr>
          <w:rFonts w:ascii="Trebuchet MS" w:eastAsia="Times New Roman" w:hAnsi="Trebuchet MS" w:cs="Times New Roman"/>
          <w:color w:val="1F497D" w:themeColor="text2"/>
          <w:sz w:val="18"/>
          <w:szCs w:val="18"/>
          <w:lang w:val="en"/>
        </w:rPr>
        <w:tab/>
        <w:t>Grade 2 Obese</w:t>
      </w:r>
      <w:r w:rsidR="00204DD9">
        <w:rPr>
          <w:rFonts w:ascii="Trebuchet MS" w:eastAsia="Times New Roman" w:hAnsi="Trebuchet MS" w:cs="Times New Roman"/>
          <w:color w:val="1F497D" w:themeColor="text2"/>
          <w:sz w:val="18"/>
          <w:szCs w:val="18"/>
          <w:lang w:val="en"/>
        </w:rPr>
        <w:t xml:space="preserve">, 10%- </w:t>
      </w:r>
      <w:r w:rsidRPr="00204DD9">
        <w:rPr>
          <w:rFonts w:ascii="Trebuchet MS" w:eastAsia="Times New Roman" w:hAnsi="Trebuchet MS" w:cs="Times New Roman"/>
          <w:color w:val="1F497D" w:themeColor="text2"/>
          <w:sz w:val="18"/>
          <w:szCs w:val="18"/>
          <w:lang w:val="en"/>
        </w:rPr>
        <w:t>Grade 3 Morbid Obesity</w:t>
      </w:r>
    </w:p>
    <w:p w:rsidR="007B1359" w:rsidRDefault="007B1359" w:rsidP="00DB3627">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Pr="007B1359" w:rsidRDefault="00092566" w:rsidP="007B1359">
      <w:pPr>
        <w:spacing w:after="0" w:line="240" w:lineRule="auto"/>
        <w:rPr>
          <w:rFonts w:ascii="Trebuchet MS" w:eastAsia="Times New Roman" w:hAnsi="Trebuchet MS" w:cs="Times New Roman"/>
          <w:color w:val="1F497D" w:themeColor="text2"/>
          <w:sz w:val="18"/>
          <w:szCs w:val="18"/>
          <w:lang w:val="en"/>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7B135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7B1359" w:rsidRPr="007B1359" w:rsidRDefault="007B1359" w:rsidP="007B1359">
      <w:pPr>
        <w:spacing w:after="0" w:line="240" w:lineRule="auto"/>
        <w:rPr>
          <w:rFonts w:ascii="Trebuchet MS" w:eastAsia="Times New Roman" w:hAnsi="Trebuchet MS" w:cs="Times New Roman"/>
          <w:color w:val="1F497D" w:themeColor="text2"/>
          <w:sz w:val="18"/>
          <w:szCs w:val="18"/>
          <w:lang w:val="en"/>
        </w:rPr>
      </w:pPr>
      <w:r w:rsidRPr="007B1359">
        <w:rPr>
          <w:rFonts w:ascii="Trebuchet MS" w:eastAsia="Times New Roman" w:hAnsi="Trebuchet MS" w:cs="Times New Roman"/>
          <w:color w:val="1F497D" w:themeColor="text2"/>
          <w:sz w:val="18"/>
          <w:szCs w:val="18"/>
          <w:lang w:val="en"/>
        </w:rPr>
        <w:t>Denominator certification prior to data collection is a key process for insuring that all practices are including the correct patients for rate calculation.  For the spine measure set, the main elements for assessment include the correct use of CPT codes and that all patients are included, not just those with completed pre-operative and post-operative assessments.  Additionally, there is a verification step to make sure that the practice is using the correct version of the Oswestry Disability Index.</w:t>
      </w:r>
    </w:p>
    <w:p w:rsidR="008A5EE1" w:rsidRDefault="007B1359" w:rsidP="007B1359">
      <w:pPr>
        <w:spacing w:after="0" w:line="240" w:lineRule="auto"/>
        <w:rPr>
          <w:rFonts w:ascii="Trebuchet MS" w:eastAsia="Times New Roman" w:hAnsi="Trebuchet MS" w:cs="Times New Roman"/>
          <w:color w:val="1F497D" w:themeColor="text2"/>
          <w:sz w:val="18"/>
          <w:szCs w:val="18"/>
          <w:lang w:val="en"/>
        </w:rPr>
      </w:pPr>
      <w:r w:rsidRPr="007B1359">
        <w:rPr>
          <w:rFonts w:ascii="Trebuchet MS" w:eastAsia="Times New Roman" w:hAnsi="Trebuchet MS" w:cs="Times New Roman"/>
          <w:color w:val="1F497D" w:themeColor="text2"/>
          <w:sz w:val="18"/>
          <w:szCs w:val="18"/>
          <w:lang w:val="en"/>
        </w:rPr>
        <w:t xml:space="preserve">A validation audit is then conducted with each group on a random sample of patients submitted.  The purpose of validation is to assure that the information submitted is a match between what is contained in the medical record.  During the pilot phase, this is an opportunity for education.  </w:t>
      </w:r>
    </w:p>
    <w:p w:rsidR="008A5EE1" w:rsidRDefault="008A5EE1" w:rsidP="007B1359">
      <w:pPr>
        <w:spacing w:after="0" w:line="240" w:lineRule="auto"/>
        <w:rPr>
          <w:rFonts w:ascii="Trebuchet MS" w:eastAsia="Times New Roman" w:hAnsi="Trebuchet MS" w:cs="Times New Roman"/>
          <w:color w:val="1F497D" w:themeColor="text2"/>
          <w:sz w:val="18"/>
          <w:szCs w:val="18"/>
          <w:lang w:val="en"/>
        </w:rPr>
      </w:pPr>
    </w:p>
    <w:p w:rsidR="007B1359" w:rsidRPr="008A5EE1" w:rsidRDefault="007B1359" w:rsidP="008A5EE1">
      <w:pPr>
        <w:pStyle w:val="ListParagraph"/>
        <w:numPr>
          <w:ilvl w:val="0"/>
          <w:numId w:val="28"/>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Some groups needed to correct their query code for inclusion of CPT procedure codes or correct expression of ICD-9 codes for exclusion (minor, missing 5th digits)</w:t>
      </w:r>
    </w:p>
    <w:p w:rsidR="007B1359" w:rsidRPr="008A5EE1" w:rsidRDefault="007B1359" w:rsidP="008A5EE1">
      <w:pPr>
        <w:pStyle w:val="ListParagraph"/>
        <w:numPr>
          <w:ilvl w:val="0"/>
          <w:numId w:val="28"/>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 xml:space="preserve">No difficulties in applying exclusion codes (lumbar spine related cancer, infection or fracture).  Audit demonstrated that submitted patients did not include those with lumbar spine related cancer, infection or fracture. </w:t>
      </w:r>
    </w:p>
    <w:p w:rsidR="008A5EE1" w:rsidRDefault="007B1359" w:rsidP="008A5EE1">
      <w:pPr>
        <w:pStyle w:val="ListParagraph"/>
        <w:numPr>
          <w:ilvl w:val="0"/>
          <w:numId w:val="28"/>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Groups did a good job in isolating one clinical reason for the procedure when multiple reasons existed.  Enhanced documentation to support provider indicating reason for procedure.</w:t>
      </w:r>
    </w:p>
    <w:p w:rsidR="008A5EE1" w:rsidRDefault="007B1359" w:rsidP="008A5EE1">
      <w:pPr>
        <w:pStyle w:val="ListParagraph"/>
        <w:numPr>
          <w:ilvl w:val="0"/>
          <w:numId w:val="28"/>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 xml:space="preserve">Some issues related to height and weight within six months prior to procedure.  </w:t>
      </w:r>
      <w:r w:rsidR="008A5EE1" w:rsidRPr="008A5EE1">
        <w:rPr>
          <w:rFonts w:ascii="Trebuchet MS" w:eastAsia="Times New Roman" w:hAnsi="Trebuchet MS" w:cs="Times New Roman"/>
          <w:color w:val="1F497D" w:themeColor="text2"/>
          <w:sz w:val="18"/>
          <w:szCs w:val="18"/>
          <w:lang w:val="en"/>
        </w:rPr>
        <w:t xml:space="preserve">Patient’s height and weight need to be most recent prior to procedure, not most recent in the medical record. </w:t>
      </w:r>
      <w:r w:rsidRPr="008A5EE1">
        <w:rPr>
          <w:rFonts w:ascii="Trebuchet MS" w:eastAsia="Times New Roman" w:hAnsi="Trebuchet MS" w:cs="Times New Roman"/>
          <w:color w:val="1F497D" w:themeColor="text2"/>
          <w:sz w:val="18"/>
          <w:szCs w:val="18"/>
          <w:lang w:val="en"/>
        </w:rPr>
        <w:t>Orthopedic/ Neurosurgery practices are becoming more accustomed to capturing pre-op height and weight.</w:t>
      </w:r>
    </w:p>
    <w:p w:rsidR="007B1359" w:rsidRDefault="007B1359" w:rsidP="008A5EE1">
      <w:pPr>
        <w:pStyle w:val="ListParagraph"/>
        <w:numPr>
          <w:ilvl w:val="0"/>
          <w:numId w:val="28"/>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A few instances of ODI miscalculation (math) were noted.</w:t>
      </w:r>
    </w:p>
    <w:p w:rsidR="008A5EE1" w:rsidRPr="008A5EE1" w:rsidRDefault="008A5EE1" w:rsidP="008A5EE1">
      <w:pPr>
        <w:pStyle w:val="ListParagraph"/>
        <w:numPr>
          <w:ilvl w:val="0"/>
          <w:numId w:val="28"/>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lastRenderedPageBreak/>
        <w:t>Room for further direction and consistency for abstracting/extracting values from tools when a patient makes more than one selection.  Connected with ODI copyright holder for clarification and direction.  Directions for each tool are dependent on guidance from the tool developer.  Will enhance data collection guides to reflect the following when there are two or more selections are made by the patient:</w:t>
      </w:r>
    </w:p>
    <w:p w:rsidR="008A5EE1" w:rsidRPr="008A5EE1" w:rsidRDefault="008A5EE1" w:rsidP="008A5EE1">
      <w:pPr>
        <w:pStyle w:val="ListParagraph"/>
        <w:numPr>
          <w:ilvl w:val="1"/>
          <w:numId w:val="28"/>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ODI -  use the higher (“worst”) the two values selected</w:t>
      </w:r>
    </w:p>
    <w:p w:rsidR="008A5EE1" w:rsidRPr="008A5EE1" w:rsidRDefault="008A5EE1" w:rsidP="008A5EE1">
      <w:pPr>
        <w:pStyle w:val="ListParagraph"/>
        <w:numPr>
          <w:ilvl w:val="1"/>
          <w:numId w:val="28"/>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EQ5D- submit the question as blank (this invalidates tool)</w:t>
      </w:r>
    </w:p>
    <w:p w:rsidR="008A5EE1" w:rsidRPr="008A5EE1" w:rsidRDefault="008A5EE1" w:rsidP="008A5EE1">
      <w:pPr>
        <w:pStyle w:val="ListParagraph"/>
        <w:numPr>
          <w:ilvl w:val="1"/>
          <w:numId w:val="28"/>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VAS Pain Scale- use the higher (“worst”) the two values selected</w:t>
      </w:r>
    </w:p>
    <w:p w:rsidR="008C54A9" w:rsidRPr="00A25024" w:rsidRDefault="008C54A9" w:rsidP="008C54A9">
      <w:pPr>
        <w:autoSpaceDE w:val="0"/>
        <w:autoSpaceDN w:val="0"/>
        <w:adjustRightInd w:val="0"/>
        <w:spacing w:after="0" w:line="240" w:lineRule="auto"/>
        <w:rPr>
          <w:rFonts w:cstheme="minorHAnsi"/>
          <w:bCs/>
        </w:rPr>
      </w:pPr>
    </w:p>
    <w:p w:rsidR="00E716A3" w:rsidRDefault="00092566" w:rsidP="008C54A9">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E716A3" w:rsidRPr="00E716A3">
        <w:rPr>
          <w:rFonts w:ascii="Trebuchet MS" w:eastAsia="Times New Roman" w:hAnsi="Trebuchet MS" w:cs="Times New Roman"/>
          <w:color w:val="1F497D" w:themeColor="text2"/>
          <w:sz w:val="18"/>
          <w:szCs w:val="18"/>
          <w:lang w:val="en"/>
        </w:rPr>
        <w:t>Reliability/ Validity of the PROM</w:t>
      </w:r>
      <w:r w:rsidR="00E716A3">
        <w:rPr>
          <w:rFonts w:ascii="Trebuchet MS" w:eastAsia="Times New Roman" w:hAnsi="Trebuchet MS" w:cs="Times New Roman"/>
          <w:color w:val="1F497D" w:themeColor="text2"/>
          <w:sz w:val="18"/>
          <w:szCs w:val="18"/>
          <w:lang w:val="en"/>
        </w:rPr>
        <w:t>- Oswestry Disability Index</w:t>
      </w:r>
    </w:p>
    <w:p w:rsidR="00E716A3" w:rsidRDefault="00E716A3" w:rsidP="00E716A3">
      <w:pPr>
        <w:spacing w:after="0" w:line="240" w:lineRule="auto"/>
        <w:rPr>
          <w:rFonts w:ascii="Trebuchet MS" w:eastAsia="Times New Roman" w:hAnsi="Trebuchet MS" w:cs="Times New Roman"/>
          <w:color w:val="1F497D" w:themeColor="text2"/>
          <w:sz w:val="18"/>
          <w:szCs w:val="18"/>
          <w:lang w:val="en"/>
        </w:rPr>
      </w:pPr>
      <w:r w:rsidRPr="002B545A">
        <w:rPr>
          <w:rFonts w:ascii="Trebuchet MS" w:eastAsia="Times New Roman" w:hAnsi="Trebuchet MS" w:cs="Times New Roman"/>
          <w:color w:val="1F497D" w:themeColor="text2"/>
          <w:sz w:val="18"/>
          <w:szCs w:val="18"/>
          <w:lang w:val="en"/>
        </w:rPr>
        <w:t>The ODI is a valid, reliable, and responsive condition-specific assessment tool that is suited for use in clinical practice. It is easy to administer and score, objectifies client</w:t>
      </w:r>
      <w:r>
        <w:rPr>
          <w:rFonts w:ascii="Trebuchet MS" w:eastAsia="Times New Roman" w:hAnsi="Trebuchet MS" w:cs="Times New Roman"/>
          <w:color w:val="1F497D" w:themeColor="text2"/>
          <w:sz w:val="18"/>
          <w:szCs w:val="18"/>
          <w:lang w:val="en"/>
        </w:rPr>
        <w:t>’</w:t>
      </w:r>
      <w:r w:rsidRPr="002B545A">
        <w:rPr>
          <w:rFonts w:ascii="Trebuchet MS" w:eastAsia="Times New Roman" w:hAnsi="Trebuchet MS" w:cs="Times New Roman"/>
          <w:color w:val="1F497D" w:themeColor="text2"/>
          <w:sz w:val="18"/>
          <w:szCs w:val="18"/>
          <w:lang w:val="en"/>
        </w:rPr>
        <w:t>s complaints, and monitors effects of therapy</w:t>
      </w:r>
      <w:r>
        <w:rPr>
          <w:rFonts w:ascii="Trebuchet MS" w:eastAsia="Times New Roman" w:hAnsi="Trebuchet MS" w:cs="Times New Roman"/>
          <w:color w:val="1F497D" w:themeColor="text2"/>
          <w:sz w:val="18"/>
          <w:szCs w:val="18"/>
          <w:lang w:val="en"/>
        </w:rPr>
        <w:t xml:space="preserve">. </w:t>
      </w:r>
    </w:p>
    <w:p w:rsidR="00E716A3" w:rsidRPr="002B545A" w:rsidRDefault="00E716A3" w:rsidP="00E716A3">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sidRPr="002B545A">
        <w:rPr>
          <w:rFonts w:ascii="Trebuchet MS" w:eastAsia="Times New Roman" w:hAnsi="Trebuchet MS" w:cs="Times New Roman"/>
          <w:color w:val="1F497D" w:themeColor="text2"/>
          <w:sz w:val="18"/>
          <w:szCs w:val="18"/>
          <w:lang w:val="en"/>
        </w:rPr>
        <w:t>The ODI</w:t>
      </w:r>
      <w:r>
        <w:rPr>
          <w:rFonts w:ascii="Trebuchet MS" w:eastAsia="Times New Roman" w:hAnsi="Trebuchet MS" w:cs="Times New Roman"/>
          <w:color w:val="1F497D" w:themeColor="text2"/>
          <w:sz w:val="18"/>
          <w:szCs w:val="18"/>
          <w:lang w:val="en"/>
        </w:rPr>
        <w:t xml:space="preserve"> shows good construct validity; </w:t>
      </w:r>
      <w:r w:rsidRPr="002B545A">
        <w:rPr>
          <w:rFonts w:ascii="Trebuchet MS" w:eastAsia="Times New Roman" w:hAnsi="Trebuchet MS" w:cs="Times New Roman"/>
          <w:color w:val="1F497D" w:themeColor="text2"/>
          <w:sz w:val="18"/>
          <w:szCs w:val="18"/>
          <w:lang w:val="en"/>
        </w:rPr>
        <w:t>internal consistency is rated as acceptable; test-retest reliabili</w:t>
      </w:r>
      <w:r>
        <w:rPr>
          <w:rFonts w:ascii="Trebuchet MS" w:eastAsia="Times New Roman" w:hAnsi="Trebuchet MS" w:cs="Times New Roman"/>
          <w:color w:val="1F497D" w:themeColor="text2"/>
          <w:sz w:val="18"/>
          <w:szCs w:val="18"/>
          <w:lang w:val="en"/>
        </w:rPr>
        <w:t xml:space="preserve">ty and responsiveness have been </w:t>
      </w:r>
      <w:r w:rsidRPr="002B545A">
        <w:rPr>
          <w:rFonts w:ascii="Trebuchet MS" w:eastAsia="Times New Roman" w:hAnsi="Trebuchet MS" w:cs="Times New Roman"/>
          <w:color w:val="1F497D" w:themeColor="text2"/>
          <w:sz w:val="18"/>
          <w:szCs w:val="18"/>
          <w:lang w:val="en"/>
        </w:rPr>
        <w:t>shown to be high; and burden of administration is low.</w:t>
      </w:r>
      <w:r>
        <w:rPr>
          <w:rFonts w:ascii="Trebuchet MS" w:eastAsia="Times New Roman" w:hAnsi="Trebuchet MS" w:cs="Times New Roman"/>
          <w:color w:val="1F497D" w:themeColor="text2"/>
          <w:sz w:val="18"/>
          <w:szCs w:val="18"/>
          <w:lang w:val="en"/>
        </w:rPr>
        <w:t xml:space="preserve"> Internal consistency with Cronbach’s alpha in ranges from .17 to .87 with test re-test reliability ranges of r = 0.83 to 0.99 and intraclass correlation coefficient values from 0.84 to 0.94. (Vinanin Psychometric properties and clinical usefulness of the Oswestry Disability Index Journal of Chiropractic Medicine 2008).</w:t>
      </w:r>
    </w:p>
    <w:p w:rsidR="00E716A3" w:rsidRDefault="00E716A3" w:rsidP="008C54A9">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p>
    <w:p w:rsidR="00E716A3" w:rsidRDefault="00E716A3" w:rsidP="00E716A3">
      <w:pPr>
        <w:spacing w:after="0" w:line="240" w:lineRule="auto"/>
        <w:rPr>
          <w:rFonts w:ascii="Trebuchet MS" w:eastAsia="Times New Roman" w:hAnsi="Trebuchet MS" w:cs="Times New Roman"/>
          <w:color w:val="1F497D" w:themeColor="text2"/>
          <w:sz w:val="18"/>
          <w:szCs w:val="18"/>
          <w:lang w:val="en"/>
        </w:rPr>
      </w:pPr>
      <w:r w:rsidRPr="00E716A3">
        <w:rPr>
          <w:rFonts w:ascii="Trebuchet MS" w:eastAsia="Times New Roman" w:hAnsi="Trebuchet MS" w:cs="Times New Roman"/>
          <w:color w:val="1F497D" w:themeColor="text2"/>
          <w:sz w:val="18"/>
          <w:szCs w:val="18"/>
          <w:lang w:val="en"/>
        </w:rPr>
        <w:t>Reliability of the PROM-PM:</w:t>
      </w:r>
    </w:p>
    <w:p w:rsidR="007422FD" w:rsidRDefault="00E716A3" w:rsidP="008C54A9">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sidRPr="00E716A3">
        <w:rPr>
          <w:rFonts w:ascii="Trebuchet MS" w:eastAsia="Times New Roman" w:hAnsi="Trebuchet MS" w:cs="Times New Roman"/>
          <w:color w:val="1F497D" w:themeColor="text2"/>
          <w:sz w:val="18"/>
          <w:szCs w:val="18"/>
          <w:lang w:val="en"/>
        </w:rPr>
        <w:t>No statistical reliability</w:t>
      </w:r>
      <w:r>
        <w:rPr>
          <w:rFonts w:ascii="Trebuchet MS" w:eastAsia="Times New Roman" w:hAnsi="Trebuchet MS" w:cs="Times New Roman"/>
          <w:color w:val="1F497D" w:themeColor="text2"/>
          <w:sz w:val="18"/>
          <w:szCs w:val="18"/>
          <w:lang w:val="en"/>
        </w:rPr>
        <w:t xml:space="preserve"> tests performed on this pilot data with four practices.  Reliability testing (</w:t>
      </w:r>
      <w:r w:rsidRPr="00E716A3">
        <w:rPr>
          <w:rFonts w:ascii="Trebuchet MS" w:eastAsia="Times New Roman" w:hAnsi="Trebuchet MS" w:cs="Times New Roman"/>
          <w:color w:val="1F497D" w:themeColor="text2"/>
          <w:sz w:val="18"/>
          <w:szCs w:val="18"/>
          <w:lang w:val="en"/>
        </w:rPr>
        <w:t xml:space="preserve">BETABIN </w:t>
      </w:r>
      <w:r>
        <w:rPr>
          <w:rFonts w:ascii="Trebuchet MS" w:eastAsia="Times New Roman" w:hAnsi="Trebuchet MS" w:cs="Times New Roman"/>
          <w:color w:val="1F497D" w:themeColor="text2"/>
          <w:sz w:val="18"/>
          <w:szCs w:val="18"/>
          <w:lang w:val="en"/>
        </w:rPr>
        <w:t xml:space="preserve">macro in </w:t>
      </w:r>
      <w:r w:rsidRPr="00E716A3">
        <w:rPr>
          <w:rFonts w:ascii="Trebuchet MS" w:eastAsia="Times New Roman" w:hAnsi="Trebuchet MS" w:cs="Times New Roman"/>
          <w:color w:val="1F497D" w:themeColor="text2"/>
          <w:sz w:val="18"/>
          <w:szCs w:val="18"/>
          <w:lang w:val="en"/>
        </w:rPr>
        <w:t>SAS)</w:t>
      </w:r>
      <w:r>
        <w:rPr>
          <w:rFonts w:ascii="Trebuchet MS" w:eastAsia="Times New Roman" w:hAnsi="Trebuchet MS" w:cs="Times New Roman"/>
          <w:color w:val="1F497D" w:themeColor="text2"/>
          <w:sz w:val="18"/>
          <w:szCs w:val="18"/>
          <w:lang w:val="en"/>
        </w:rPr>
        <w:t xml:space="preserve"> will be performed following state-wide implementation with data submission occurring mid-2015.</w:t>
      </w:r>
    </w:p>
    <w:p w:rsidR="007F4740" w:rsidRPr="00E716A3" w:rsidRDefault="007F4740" w:rsidP="008C54A9">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p>
    <w:p w:rsidR="007F4740" w:rsidRPr="007F4740" w:rsidRDefault="00092566" w:rsidP="007F4740">
      <w:pPr>
        <w:spacing w:after="0" w:line="240" w:lineRule="auto"/>
        <w:rPr>
          <w:rFonts w:ascii="Trebuchet MS" w:eastAsia="Times New Roman" w:hAnsi="Trebuchet MS" w:cs="Times New Roman"/>
          <w:color w:val="1F497D" w:themeColor="text2"/>
          <w:sz w:val="18"/>
          <w:szCs w:val="18"/>
          <w:lang w:val="en"/>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7F4740" w:rsidRPr="007F4740">
        <w:rPr>
          <w:rFonts w:ascii="Trebuchet MS" w:eastAsia="Times New Roman" w:hAnsi="Trebuchet MS" w:cs="Times New Roman"/>
          <w:color w:val="1F497D" w:themeColor="text2"/>
          <w:sz w:val="18"/>
          <w:szCs w:val="18"/>
          <w:lang w:val="en"/>
        </w:rPr>
        <w:t>Pilot results demonstrate that groups can successfully administer patient reported outcome (PRO) assessment tools to their patients and that outcome rates demonstrate some variability.</w:t>
      </w:r>
    </w:p>
    <w:p w:rsidR="007F4740" w:rsidRPr="007F4740" w:rsidRDefault="007F4740" w:rsidP="007F4740">
      <w:p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No changes to the measure population (denominator), exclusions</w:t>
      </w:r>
      <w:r>
        <w:rPr>
          <w:rFonts w:ascii="Trebuchet MS" w:eastAsia="Times New Roman" w:hAnsi="Trebuchet MS" w:cs="Times New Roman"/>
          <w:color w:val="1F497D" w:themeColor="text2"/>
          <w:sz w:val="18"/>
          <w:szCs w:val="18"/>
          <w:lang w:val="en"/>
        </w:rPr>
        <w:t>.</w:t>
      </w:r>
    </w:p>
    <w:p w:rsidR="007F4740" w:rsidRPr="007F4740" w:rsidRDefault="007F4740" w:rsidP="007F4740">
      <w:p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Modifications (made to specifications as a result of pilot)</w:t>
      </w:r>
    </w:p>
    <w:p w:rsidR="007F4740" w:rsidRPr="007F4740" w:rsidRDefault="007F4740" w:rsidP="007F4740">
      <w:pPr>
        <w:pStyle w:val="ListParagraph"/>
        <w:numPr>
          <w:ilvl w:val="0"/>
          <w:numId w:val="30"/>
        </w:num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 xml:space="preserve">Measure calculations to be modified to reflect absolute change (not a percent change) for the functional status (ODI) and pain (VAS) measures </w:t>
      </w:r>
    </w:p>
    <w:p w:rsidR="007F4740" w:rsidRDefault="007F4740" w:rsidP="007F4740">
      <w:pPr>
        <w:pStyle w:val="ListParagraph"/>
        <w:numPr>
          <w:ilvl w:val="0"/>
          <w:numId w:val="30"/>
        </w:num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Clarification for users how to handle/score  multiple responses for a single question based on tool developer’s guidelines (worst response versus invalid tool)</w:t>
      </w:r>
    </w:p>
    <w:p w:rsidR="007F4740" w:rsidRPr="007F4740" w:rsidRDefault="007F4740" w:rsidP="007F4740">
      <w:pPr>
        <w:pStyle w:val="ListParagraph"/>
        <w:numPr>
          <w:ilvl w:val="0"/>
          <w:numId w:val="30"/>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P</w:t>
      </w:r>
      <w:r w:rsidRPr="007F4740">
        <w:rPr>
          <w:rFonts w:ascii="Trebuchet MS" w:eastAsia="Times New Roman" w:hAnsi="Trebuchet MS" w:cs="Times New Roman"/>
          <w:color w:val="1F497D" w:themeColor="text2"/>
          <w:sz w:val="18"/>
          <w:szCs w:val="18"/>
          <w:lang w:val="en"/>
        </w:rPr>
        <w:t>lan transition</w:t>
      </w:r>
      <w:r>
        <w:rPr>
          <w:rFonts w:ascii="Trebuchet MS" w:eastAsia="Times New Roman" w:hAnsi="Trebuchet MS" w:cs="Times New Roman"/>
          <w:color w:val="1F497D" w:themeColor="text2"/>
          <w:sz w:val="18"/>
          <w:szCs w:val="18"/>
          <w:lang w:val="en"/>
        </w:rPr>
        <w:t xml:space="preserve"> from EQ5D</w:t>
      </w:r>
      <w:r w:rsidRPr="007F4740">
        <w:rPr>
          <w:rFonts w:ascii="Trebuchet MS" w:eastAsia="Times New Roman" w:hAnsi="Trebuchet MS" w:cs="Times New Roman"/>
          <w:color w:val="1F497D" w:themeColor="text2"/>
          <w:sz w:val="18"/>
          <w:szCs w:val="18"/>
          <w:lang w:val="en"/>
        </w:rPr>
        <w:t xml:space="preserve"> to PROMIS Global-10 for procedure dates 1-1-2015</w:t>
      </w:r>
    </w:p>
    <w:p w:rsidR="007F4740" w:rsidRPr="007F4740" w:rsidRDefault="007F4740" w:rsidP="007F4740">
      <w:p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Future Considerations</w:t>
      </w:r>
      <w:r>
        <w:rPr>
          <w:rFonts w:ascii="Trebuchet MS" w:eastAsia="Times New Roman" w:hAnsi="Trebuchet MS" w:cs="Times New Roman"/>
          <w:color w:val="1F497D" w:themeColor="text2"/>
          <w:sz w:val="18"/>
          <w:szCs w:val="18"/>
          <w:lang w:val="en"/>
        </w:rPr>
        <w:t>:</w:t>
      </w:r>
    </w:p>
    <w:p w:rsidR="007F4740" w:rsidRPr="007F4740" w:rsidRDefault="007F4740" w:rsidP="007F4740">
      <w:p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 xml:space="preserve">Evaluate rates of pre-operative and post-operative PRO administration to determine suitability of outcome measures for public reporting as denominator for calculating average change depends on tool administration to patients.  Ideally, a fairly high pre-operative rate is expected and a target goal of 70% post-operative capture. </w:t>
      </w:r>
    </w:p>
    <w:p w:rsidR="007422FD" w:rsidRPr="007F4740" w:rsidRDefault="007F4740" w:rsidP="007F4740">
      <w:p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Measure development work group recommends that these measures be considered for wider imple</w:t>
      </w:r>
      <w:r>
        <w:rPr>
          <w:rFonts w:ascii="Trebuchet MS" w:eastAsia="Times New Roman" w:hAnsi="Trebuchet MS" w:cs="Times New Roman"/>
          <w:color w:val="1F497D" w:themeColor="text2"/>
          <w:sz w:val="18"/>
          <w:szCs w:val="18"/>
          <w:lang w:val="en"/>
        </w:rPr>
        <w:t>mentation and use in Minnesota.</w:t>
      </w:r>
      <w:r w:rsidR="0037545D">
        <w:rPr>
          <w:rFonts w:ascii="Trebuchet MS" w:eastAsia="Times New Roman" w:hAnsi="Trebuchet MS" w:cs="Times New Roman"/>
          <w:color w:val="1F497D" w:themeColor="text2"/>
          <w:sz w:val="18"/>
          <w:szCs w:val="18"/>
          <w:lang w:val="en"/>
        </w:rPr>
        <w:t xml:space="preserve">  Measures approved by the MNCM Measurement and Reporting Committee and the Board of Directors in August/ October 2014.</w:t>
      </w:r>
    </w:p>
    <w:p w:rsidR="00021170" w:rsidRPr="00A25024" w:rsidRDefault="007F4740" w:rsidP="00DB3627">
      <w:pPr>
        <w:autoSpaceDE w:val="0"/>
        <w:autoSpaceDN w:val="0"/>
        <w:adjustRightInd w:val="0"/>
        <w:spacing w:after="0" w:line="240" w:lineRule="auto"/>
        <w:rPr>
          <w:rFonts w:cstheme="minorHAnsi"/>
          <w:noProof/>
        </w:rPr>
      </w:pPr>
      <w:r>
        <w:rPr>
          <w:rFonts w:cstheme="minorHAnsi"/>
          <w:noProof/>
        </w:rPr>
        <w:t>___</w:t>
      </w:r>
      <w:r w:rsidR="00483E94">
        <w:rPr>
          <w:rFonts w:cstheme="minorHAnsi"/>
          <w:noProof/>
        </w:rPr>
        <w:t>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E716A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B266B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B266B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9E671B" w:rsidRDefault="00092566" w:rsidP="009E671B">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 xml:space="preserve">tested, e.g., accuracy of data elements </w:t>
      </w:r>
      <w:r w:rsidR="00696262" w:rsidRPr="00A25024">
        <w:rPr>
          <w:rFonts w:cstheme="minorHAnsi"/>
          <w:bCs/>
          <w:i/>
        </w:rPr>
        <w:lastRenderedPageBreak/>
        <w:t>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9E671B" w:rsidRPr="00E716A3">
        <w:rPr>
          <w:rFonts w:ascii="Trebuchet MS" w:eastAsia="Times New Roman" w:hAnsi="Trebuchet MS" w:cs="Times New Roman"/>
          <w:color w:val="1F497D" w:themeColor="text2"/>
          <w:sz w:val="18"/>
          <w:szCs w:val="18"/>
          <w:lang w:val="en"/>
        </w:rPr>
        <w:t>Reliability/ Validity of the PROM</w:t>
      </w:r>
      <w:r w:rsidR="009E671B">
        <w:rPr>
          <w:rFonts w:ascii="Trebuchet MS" w:eastAsia="Times New Roman" w:hAnsi="Trebuchet MS" w:cs="Times New Roman"/>
          <w:color w:val="1F497D" w:themeColor="text2"/>
          <w:sz w:val="18"/>
          <w:szCs w:val="18"/>
          <w:lang w:val="en"/>
        </w:rPr>
        <w:t>- Oswestry Disability Index</w:t>
      </w:r>
    </w:p>
    <w:p w:rsidR="009E671B" w:rsidRDefault="009E671B" w:rsidP="009E671B">
      <w:pPr>
        <w:spacing w:after="0" w:line="240" w:lineRule="auto"/>
        <w:rPr>
          <w:rFonts w:ascii="Trebuchet MS" w:eastAsia="Times New Roman" w:hAnsi="Trebuchet MS" w:cs="Times New Roman"/>
          <w:color w:val="1F497D" w:themeColor="text2"/>
          <w:sz w:val="18"/>
          <w:szCs w:val="18"/>
          <w:lang w:val="en"/>
        </w:rPr>
      </w:pPr>
      <w:r w:rsidRPr="002B545A">
        <w:rPr>
          <w:rFonts w:ascii="Trebuchet MS" w:eastAsia="Times New Roman" w:hAnsi="Trebuchet MS" w:cs="Times New Roman"/>
          <w:color w:val="1F497D" w:themeColor="text2"/>
          <w:sz w:val="18"/>
          <w:szCs w:val="18"/>
          <w:lang w:val="en"/>
        </w:rPr>
        <w:t>The ODI is a valid, reliable, and responsive condition-specific assessment tool that is suited for use in clinical practice. It is easy to administer and score, objectifies client</w:t>
      </w:r>
      <w:r>
        <w:rPr>
          <w:rFonts w:ascii="Trebuchet MS" w:eastAsia="Times New Roman" w:hAnsi="Trebuchet MS" w:cs="Times New Roman"/>
          <w:color w:val="1F497D" w:themeColor="text2"/>
          <w:sz w:val="18"/>
          <w:szCs w:val="18"/>
          <w:lang w:val="en"/>
        </w:rPr>
        <w:t>’</w:t>
      </w:r>
      <w:r w:rsidRPr="002B545A">
        <w:rPr>
          <w:rFonts w:ascii="Trebuchet MS" w:eastAsia="Times New Roman" w:hAnsi="Trebuchet MS" w:cs="Times New Roman"/>
          <w:color w:val="1F497D" w:themeColor="text2"/>
          <w:sz w:val="18"/>
          <w:szCs w:val="18"/>
          <w:lang w:val="en"/>
        </w:rPr>
        <w:t>s complaints, and monitors effects of therapy</w:t>
      </w:r>
      <w:r>
        <w:rPr>
          <w:rFonts w:ascii="Trebuchet MS" w:eastAsia="Times New Roman" w:hAnsi="Trebuchet MS" w:cs="Times New Roman"/>
          <w:color w:val="1F497D" w:themeColor="text2"/>
          <w:sz w:val="18"/>
          <w:szCs w:val="18"/>
          <w:lang w:val="en"/>
        </w:rPr>
        <w:t xml:space="preserve">. </w:t>
      </w:r>
    </w:p>
    <w:p w:rsidR="009E671B" w:rsidRPr="002B545A" w:rsidRDefault="009E671B" w:rsidP="009E671B">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sidRPr="002B545A">
        <w:rPr>
          <w:rFonts w:ascii="Trebuchet MS" w:eastAsia="Times New Roman" w:hAnsi="Trebuchet MS" w:cs="Times New Roman"/>
          <w:color w:val="1F497D" w:themeColor="text2"/>
          <w:sz w:val="18"/>
          <w:szCs w:val="18"/>
          <w:lang w:val="en"/>
        </w:rPr>
        <w:t>The ODI</w:t>
      </w:r>
      <w:r>
        <w:rPr>
          <w:rFonts w:ascii="Trebuchet MS" w:eastAsia="Times New Roman" w:hAnsi="Trebuchet MS" w:cs="Times New Roman"/>
          <w:color w:val="1F497D" w:themeColor="text2"/>
          <w:sz w:val="18"/>
          <w:szCs w:val="18"/>
          <w:lang w:val="en"/>
        </w:rPr>
        <w:t xml:space="preserve"> shows good construct validity; </w:t>
      </w:r>
      <w:r w:rsidRPr="002B545A">
        <w:rPr>
          <w:rFonts w:ascii="Trebuchet MS" w:eastAsia="Times New Roman" w:hAnsi="Trebuchet MS" w:cs="Times New Roman"/>
          <w:color w:val="1F497D" w:themeColor="text2"/>
          <w:sz w:val="18"/>
          <w:szCs w:val="18"/>
          <w:lang w:val="en"/>
        </w:rPr>
        <w:t>internal consistency is rated as acceptable; test-retest reliabili</w:t>
      </w:r>
      <w:r>
        <w:rPr>
          <w:rFonts w:ascii="Trebuchet MS" w:eastAsia="Times New Roman" w:hAnsi="Trebuchet MS" w:cs="Times New Roman"/>
          <w:color w:val="1F497D" w:themeColor="text2"/>
          <w:sz w:val="18"/>
          <w:szCs w:val="18"/>
          <w:lang w:val="en"/>
        </w:rPr>
        <w:t xml:space="preserve">ty and responsiveness have been </w:t>
      </w:r>
      <w:r w:rsidRPr="002B545A">
        <w:rPr>
          <w:rFonts w:ascii="Trebuchet MS" w:eastAsia="Times New Roman" w:hAnsi="Trebuchet MS" w:cs="Times New Roman"/>
          <w:color w:val="1F497D" w:themeColor="text2"/>
          <w:sz w:val="18"/>
          <w:szCs w:val="18"/>
          <w:lang w:val="en"/>
        </w:rPr>
        <w:t>shown to be high; and burden of administration is low.</w:t>
      </w:r>
      <w:r>
        <w:rPr>
          <w:rFonts w:ascii="Trebuchet MS" w:eastAsia="Times New Roman" w:hAnsi="Trebuchet MS" w:cs="Times New Roman"/>
          <w:color w:val="1F497D" w:themeColor="text2"/>
          <w:sz w:val="18"/>
          <w:szCs w:val="18"/>
          <w:lang w:val="en"/>
        </w:rPr>
        <w:t xml:space="preserve"> Internal consistency with Cronbach’s alpha in ranges from .17 to .87 with test re-test reliability ranges of r = 0.83 to 0.99 and intraclass correlation coefficient values from 0.84 to 0.94. </w:t>
      </w:r>
      <w:proofErr w:type="gramStart"/>
      <w:r>
        <w:rPr>
          <w:rFonts w:ascii="Trebuchet MS" w:eastAsia="Times New Roman" w:hAnsi="Trebuchet MS" w:cs="Times New Roman"/>
          <w:color w:val="1F497D" w:themeColor="text2"/>
          <w:sz w:val="18"/>
          <w:szCs w:val="18"/>
          <w:lang w:val="en"/>
        </w:rPr>
        <w:t>(Vinanin Psychometric properties and clinical usefulness of the Oswestry Disability Index Journal of Chiropractic Medicine 2008).</w:t>
      </w:r>
      <w:proofErr w:type="gramEnd"/>
    </w:p>
    <w:p w:rsidR="009E671B" w:rsidRDefault="009E671B" w:rsidP="009E671B">
      <w:pPr>
        <w:spacing w:after="0" w:line="240" w:lineRule="auto"/>
        <w:rPr>
          <w:rFonts w:ascii="Trebuchet MS" w:eastAsia="Times New Roman" w:hAnsi="Trebuchet MS" w:cs="Times New Roman"/>
          <w:color w:val="1F497D" w:themeColor="text2"/>
          <w:sz w:val="18"/>
          <w:szCs w:val="18"/>
          <w:lang w:val="en"/>
        </w:rPr>
      </w:pPr>
    </w:p>
    <w:p w:rsidR="009E671B" w:rsidRDefault="009E671B" w:rsidP="009E671B">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Validity of the PROM-PM</w:t>
      </w:r>
    </w:p>
    <w:p w:rsidR="009E671B" w:rsidRPr="001969A8" w:rsidRDefault="009E671B" w:rsidP="009E671B">
      <w:pPr>
        <w:spacing w:after="0" w:line="240" w:lineRule="auto"/>
        <w:rPr>
          <w:rFonts w:ascii="Trebuchet MS" w:eastAsia="Times New Roman" w:hAnsi="Trebuchet MS" w:cs="Times New Roman"/>
          <w:color w:val="1F497D" w:themeColor="text2"/>
          <w:sz w:val="18"/>
          <w:szCs w:val="18"/>
          <w:lang w:val="en"/>
        </w:rPr>
      </w:pPr>
      <w:r w:rsidRPr="001969A8">
        <w:rPr>
          <w:rFonts w:ascii="Trebuchet MS" w:eastAsia="Times New Roman" w:hAnsi="Trebuchet MS" w:cs="Times New Roman"/>
          <w:color w:val="1F497D" w:themeColor="text2"/>
          <w:sz w:val="18"/>
          <w:szCs w:val="18"/>
          <w:lang w:val="en"/>
        </w:rPr>
        <w:t>Denominator Certification</w:t>
      </w:r>
      <w:r>
        <w:rPr>
          <w:rFonts w:ascii="Trebuchet MS" w:eastAsia="Times New Roman" w:hAnsi="Trebuchet MS" w:cs="Times New Roman"/>
          <w:color w:val="1F497D" w:themeColor="text2"/>
          <w:sz w:val="18"/>
          <w:szCs w:val="18"/>
          <w:lang w:val="en"/>
        </w:rPr>
        <w:t xml:space="preserve"> (Initial Patient Population):</w:t>
      </w:r>
    </w:p>
    <w:p w:rsidR="009E671B" w:rsidRDefault="009E671B" w:rsidP="009E671B">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Each</w:t>
      </w:r>
      <w:r w:rsidRPr="001969A8">
        <w:rPr>
          <w:rFonts w:ascii="Trebuchet MS" w:eastAsia="Times New Roman" w:hAnsi="Trebuchet MS" w:cs="Times New Roman"/>
          <w:color w:val="1F497D" w:themeColor="text2"/>
          <w:sz w:val="18"/>
          <w:szCs w:val="18"/>
          <w:lang w:val="en"/>
        </w:rPr>
        <w:t xml:space="preserve"> </w:t>
      </w:r>
      <w:r>
        <w:rPr>
          <w:rFonts w:ascii="Trebuchet MS" w:eastAsia="Times New Roman" w:hAnsi="Trebuchet MS" w:cs="Times New Roman"/>
          <w:color w:val="1F497D" w:themeColor="text2"/>
          <w:sz w:val="18"/>
          <w:szCs w:val="18"/>
          <w:lang w:val="en"/>
        </w:rPr>
        <w:t>practice</w:t>
      </w:r>
      <w:r w:rsidRPr="001969A8">
        <w:rPr>
          <w:rFonts w:ascii="Trebuchet MS" w:eastAsia="Times New Roman" w:hAnsi="Trebuchet MS" w:cs="Times New Roman"/>
          <w:color w:val="1F497D" w:themeColor="text2"/>
          <w:sz w:val="18"/>
          <w:szCs w:val="18"/>
          <w:lang w:val="en"/>
        </w:rPr>
        <w:t xml:space="preserve"> submitted a document outlining their method for identifying adult patients age 18 or older who underwent a lumbar spinal fusion procedure.</w:t>
      </w:r>
      <w:r>
        <w:rPr>
          <w:rFonts w:ascii="Trebuchet MS" w:eastAsia="Times New Roman" w:hAnsi="Trebuchet MS" w:cs="Times New Roman"/>
          <w:color w:val="1F497D" w:themeColor="text2"/>
          <w:sz w:val="18"/>
          <w:szCs w:val="18"/>
          <w:lang w:val="en"/>
        </w:rPr>
        <w:t xml:space="preserve">  This included a verification of CPT codes used to identify eligible patients, ICD-9 codes used for up-front exclusions (cancer, infection, fracture and scoliosis), date ranges for age and procedure and verification of PRO tool for correct version in addition to submitting EMR generated query code for validation of correct inclusion and exclusion criteria. </w:t>
      </w:r>
      <w:r w:rsidRPr="001969A8">
        <w:rPr>
          <w:rFonts w:ascii="Trebuchet MS" w:eastAsia="Times New Roman" w:hAnsi="Trebuchet MS" w:cs="Times New Roman"/>
          <w:color w:val="1F497D" w:themeColor="text2"/>
          <w:sz w:val="18"/>
          <w:szCs w:val="18"/>
          <w:lang w:val="en"/>
        </w:rPr>
        <w:t>MNCM staff verified each medical group’s method and system source code to ensure standard criteria were followed and that eligibl</w:t>
      </w:r>
      <w:r>
        <w:rPr>
          <w:rFonts w:ascii="Trebuchet MS" w:eastAsia="Times New Roman" w:hAnsi="Trebuchet MS" w:cs="Times New Roman"/>
          <w:color w:val="1F497D" w:themeColor="text2"/>
          <w:sz w:val="18"/>
          <w:szCs w:val="18"/>
          <w:lang w:val="en"/>
        </w:rPr>
        <w:t>e patients would be identified.</w:t>
      </w:r>
      <w:r w:rsidRPr="001969A8">
        <w:rPr>
          <w:rFonts w:ascii="Trebuchet MS" w:eastAsia="Times New Roman" w:hAnsi="Trebuchet MS" w:cs="Times New Roman"/>
          <w:color w:val="1F497D" w:themeColor="text2"/>
          <w:sz w:val="18"/>
          <w:szCs w:val="18"/>
          <w:lang w:val="en"/>
        </w:rPr>
        <w:t xml:space="preserve"> MNCM contacted the medical group to clarify their denominator method as necessary.</w:t>
      </w:r>
    </w:p>
    <w:p w:rsidR="009E671B" w:rsidRDefault="009E671B" w:rsidP="009E671B">
      <w:pPr>
        <w:spacing w:after="0" w:line="240" w:lineRule="auto"/>
        <w:rPr>
          <w:rFonts w:ascii="Trebuchet MS" w:eastAsia="Times New Roman" w:hAnsi="Trebuchet MS" w:cs="Times New Roman"/>
          <w:color w:val="1F497D" w:themeColor="text2"/>
          <w:sz w:val="18"/>
          <w:szCs w:val="18"/>
          <w:lang w:val="en"/>
        </w:rPr>
      </w:pPr>
    </w:p>
    <w:p w:rsidR="009E671B" w:rsidRDefault="009E671B" w:rsidP="009E671B">
      <w:pPr>
        <w:spacing w:after="0" w:line="240" w:lineRule="auto"/>
        <w:rPr>
          <w:rFonts w:ascii="Trebuchet MS" w:eastAsia="Times New Roman" w:hAnsi="Trebuchet MS" w:cs="Times New Roman"/>
          <w:color w:val="1F497D" w:themeColor="text2"/>
          <w:sz w:val="18"/>
          <w:szCs w:val="18"/>
          <w:lang w:val="en"/>
        </w:rPr>
      </w:pPr>
      <w:r w:rsidRPr="001969A8">
        <w:rPr>
          <w:rFonts w:ascii="Trebuchet MS" w:eastAsia="Times New Roman" w:hAnsi="Trebuchet MS" w:cs="Times New Roman"/>
          <w:color w:val="1F497D" w:themeColor="text2"/>
          <w:sz w:val="18"/>
          <w:szCs w:val="18"/>
          <w:lang w:val="en"/>
        </w:rPr>
        <w:t>Data Quality Checks</w:t>
      </w:r>
      <w:r>
        <w:rPr>
          <w:rFonts w:ascii="Trebuchet MS" w:eastAsia="Times New Roman" w:hAnsi="Trebuchet MS" w:cs="Times New Roman"/>
          <w:color w:val="1F497D" w:themeColor="text2"/>
          <w:sz w:val="18"/>
          <w:szCs w:val="18"/>
          <w:lang w:val="en"/>
        </w:rPr>
        <w:t>:</w:t>
      </w:r>
    </w:p>
    <w:p w:rsidR="009E671B" w:rsidRDefault="009E671B" w:rsidP="009E671B">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After the patient level file is submitted to the MNCM HIPAA secure data portal; file checks were performed on demographic data and age within normal distribution</w:t>
      </w:r>
    </w:p>
    <w:p w:rsidR="009E671B" w:rsidRDefault="009E671B" w:rsidP="009E671B">
      <w:pPr>
        <w:spacing w:after="0" w:line="240" w:lineRule="auto"/>
        <w:rPr>
          <w:rFonts w:ascii="Trebuchet MS" w:eastAsia="Times New Roman" w:hAnsi="Trebuchet MS" w:cs="Times New Roman"/>
          <w:color w:val="1F497D" w:themeColor="text2"/>
          <w:sz w:val="18"/>
          <w:szCs w:val="18"/>
          <w:lang w:val="en"/>
        </w:rPr>
      </w:pPr>
    </w:p>
    <w:p w:rsidR="009E671B" w:rsidRDefault="009E671B" w:rsidP="009E671B">
      <w:pPr>
        <w:spacing w:after="0" w:line="240" w:lineRule="auto"/>
        <w:rPr>
          <w:rFonts w:ascii="Trebuchet MS" w:eastAsia="Times New Roman" w:hAnsi="Trebuchet MS" w:cs="Times New Roman"/>
          <w:color w:val="1F497D" w:themeColor="text2"/>
          <w:sz w:val="18"/>
          <w:szCs w:val="18"/>
          <w:lang w:val="en"/>
        </w:rPr>
      </w:pPr>
      <w:r w:rsidRPr="009E671B">
        <w:rPr>
          <w:rFonts w:ascii="Trebuchet MS" w:eastAsia="Times New Roman" w:hAnsi="Trebuchet MS" w:cs="Times New Roman"/>
          <w:color w:val="1F497D" w:themeColor="text2"/>
          <w:sz w:val="18"/>
          <w:szCs w:val="18"/>
          <w:lang w:val="en"/>
        </w:rPr>
        <w:t>Validation Audit</w:t>
      </w:r>
      <w:r>
        <w:rPr>
          <w:rFonts w:ascii="Trebuchet MS" w:eastAsia="Times New Roman" w:hAnsi="Trebuchet MS" w:cs="Times New Roman"/>
          <w:color w:val="1F497D" w:themeColor="text2"/>
          <w:sz w:val="18"/>
          <w:szCs w:val="18"/>
          <w:lang w:val="en"/>
        </w:rPr>
        <w:t>:</w:t>
      </w:r>
    </w:p>
    <w:p w:rsidR="009E671B" w:rsidRDefault="009E671B" w:rsidP="009E671B">
      <w:pPr>
        <w:spacing w:after="120"/>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 xml:space="preserve">MNCM </w:t>
      </w:r>
      <w:r w:rsidRPr="009E671B">
        <w:rPr>
          <w:rFonts w:ascii="Trebuchet MS" w:eastAsia="Times New Roman" w:hAnsi="Trebuchet MS" w:cs="Times New Roman"/>
          <w:color w:val="1F497D" w:themeColor="text2"/>
          <w:sz w:val="18"/>
          <w:szCs w:val="18"/>
          <w:lang w:val="en"/>
        </w:rPr>
        <w:t>used a standard validation process known as NCQA (National Committee for Quality Assurance) “8 and 30”, described here:</w:t>
      </w:r>
      <w:r>
        <w:rPr>
          <w:rFonts w:ascii="Trebuchet MS" w:eastAsia="Times New Roman" w:hAnsi="Trebuchet MS" w:cs="Times New Roman"/>
          <w:color w:val="1F497D" w:themeColor="text2"/>
          <w:sz w:val="18"/>
          <w:szCs w:val="18"/>
          <w:lang w:val="en"/>
        </w:rPr>
        <w:t xml:space="preserve"> T</w:t>
      </w:r>
      <w:r w:rsidRPr="009E671B">
        <w:rPr>
          <w:rFonts w:ascii="Trebuchet MS" w:eastAsia="Times New Roman" w:hAnsi="Trebuchet MS" w:cs="Times New Roman"/>
          <w:color w:val="1F497D" w:themeColor="text2"/>
          <w:sz w:val="18"/>
          <w:szCs w:val="18"/>
          <w:lang w:val="en"/>
        </w:rPr>
        <w:t>he first eight records are verified for accuracy and if no errors are identified, the data is considered to be 100% compliant.  If errors in the first eight records are identified, we may continue reviewing the total 30 records to identify any error patterns or issues that may need correction.</w:t>
      </w:r>
    </w:p>
    <w:p w:rsidR="009E671B" w:rsidRPr="009E671B" w:rsidRDefault="009E671B" w:rsidP="009E671B">
      <w:pPr>
        <w:spacing w:after="120"/>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MNCM completed audits against the medical record for all the practices submitting data for pilot testing.  Measure specific clinical data elements that were audited included:</w:t>
      </w:r>
    </w:p>
    <w:p w:rsidR="009E671B" w:rsidRPr="009E671B" w:rsidRDefault="009E671B" w:rsidP="009E671B">
      <w:pPr>
        <w:pStyle w:val="ListParagraph"/>
        <w:numPr>
          <w:ilvl w:val="0"/>
          <w:numId w:val="32"/>
        </w:numPr>
        <w:spacing w:line="240" w:lineRule="auto"/>
        <w:rPr>
          <w:rFonts w:ascii="Trebuchet MS" w:eastAsia="Times New Roman" w:hAnsi="Trebuchet MS" w:cs="Times New Roman"/>
          <w:color w:val="1F497D" w:themeColor="text2"/>
          <w:sz w:val="18"/>
          <w:szCs w:val="18"/>
          <w:lang w:val="en"/>
        </w:rPr>
      </w:pPr>
      <w:r w:rsidRPr="009E671B">
        <w:rPr>
          <w:rFonts w:ascii="Trebuchet MS" w:eastAsia="Times New Roman" w:hAnsi="Trebuchet MS" w:cs="Times New Roman"/>
          <w:color w:val="1F497D" w:themeColor="text2"/>
          <w:sz w:val="18"/>
          <w:szCs w:val="18"/>
          <w:lang w:val="en"/>
        </w:rPr>
        <w:t>Height and weight (pre-op)</w:t>
      </w:r>
    </w:p>
    <w:p w:rsidR="009E671B" w:rsidRPr="009E671B" w:rsidRDefault="009E671B" w:rsidP="009E671B">
      <w:pPr>
        <w:pStyle w:val="ListParagraph"/>
        <w:numPr>
          <w:ilvl w:val="0"/>
          <w:numId w:val="32"/>
        </w:numPr>
        <w:spacing w:line="240" w:lineRule="auto"/>
        <w:rPr>
          <w:rFonts w:ascii="Trebuchet MS" w:eastAsia="Times New Roman" w:hAnsi="Trebuchet MS" w:cs="Times New Roman"/>
          <w:color w:val="1F497D" w:themeColor="text2"/>
          <w:sz w:val="18"/>
          <w:szCs w:val="18"/>
          <w:lang w:val="en"/>
        </w:rPr>
      </w:pPr>
      <w:r w:rsidRPr="009E671B">
        <w:rPr>
          <w:rFonts w:ascii="Trebuchet MS" w:eastAsia="Times New Roman" w:hAnsi="Trebuchet MS" w:cs="Times New Roman"/>
          <w:color w:val="1F497D" w:themeColor="text2"/>
          <w:sz w:val="18"/>
          <w:szCs w:val="18"/>
          <w:lang w:val="en"/>
        </w:rPr>
        <w:t>Tobacco status</w:t>
      </w:r>
    </w:p>
    <w:p w:rsidR="009E671B" w:rsidRPr="009E671B" w:rsidRDefault="009E671B" w:rsidP="009E671B">
      <w:pPr>
        <w:pStyle w:val="ListParagraph"/>
        <w:numPr>
          <w:ilvl w:val="0"/>
          <w:numId w:val="32"/>
        </w:numPr>
        <w:spacing w:line="240" w:lineRule="auto"/>
        <w:rPr>
          <w:rFonts w:ascii="Trebuchet MS" w:eastAsia="Times New Roman" w:hAnsi="Trebuchet MS" w:cs="Times New Roman"/>
          <w:color w:val="1F497D" w:themeColor="text2"/>
          <w:sz w:val="18"/>
          <w:szCs w:val="18"/>
          <w:lang w:val="en"/>
        </w:rPr>
      </w:pPr>
      <w:r w:rsidRPr="009E671B">
        <w:rPr>
          <w:rFonts w:ascii="Trebuchet MS" w:eastAsia="Times New Roman" w:hAnsi="Trebuchet MS" w:cs="Times New Roman"/>
          <w:color w:val="1F497D" w:themeColor="text2"/>
          <w:sz w:val="18"/>
          <w:szCs w:val="18"/>
          <w:lang w:val="en"/>
        </w:rPr>
        <w:t>Prior back surgery</w:t>
      </w:r>
    </w:p>
    <w:p w:rsidR="009E671B" w:rsidRPr="009E671B" w:rsidRDefault="009E671B" w:rsidP="009E671B">
      <w:pPr>
        <w:pStyle w:val="ListParagraph"/>
        <w:numPr>
          <w:ilvl w:val="0"/>
          <w:numId w:val="32"/>
        </w:numPr>
        <w:spacing w:line="240" w:lineRule="auto"/>
        <w:rPr>
          <w:rFonts w:ascii="Trebuchet MS" w:eastAsia="Times New Roman" w:hAnsi="Trebuchet MS" w:cs="Times New Roman"/>
          <w:color w:val="1F497D" w:themeColor="text2"/>
          <w:sz w:val="18"/>
          <w:szCs w:val="18"/>
          <w:lang w:val="en"/>
        </w:rPr>
      </w:pPr>
      <w:r w:rsidRPr="009E671B">
        <w:rPr>
          <w:rFonts w:ascii="Trebuchet MS" w:eastAsia="Times New Roman" w:hAnsi="Trebuchet MS" w:cs="Times New Roman"/>
          <w:color w:val="1F497D" w:themeColor="text2"/>
          <w:sz w:val="18"/>
          <w:szCs w:val="18"/>
          <w:lang w:val="en"/>
        </w:rPr>
        <w:t>Clinical condition reason for procedure</w:t>
      </w:r>
    </w:p>
    <w:p w:rsidR="009E671B" w:rsidRPr="009E671B" w:rsidRDefault="009E671B" w:rsidP="009E671B">
      <w:pPr>
        <w:pStyle w:val="ListParagraph"/>
        <w:numPr>
          <w:ilvl w:val="0"/>
          <w:numId w:val="32"/>
        </w:numPr>
        <w:spacing w:line="240" w:lineRule="auto"/>
        <w:rPr>
          <w:rFonts w:ascii="Trebuchet MS" w:eastAsia="Times New Roman" w:hAnsi="Trebuchet MS" w:cs="Times New Roman"/>
          <w:color w:val="1F497D" w:themeColor="text2"/>
          <w:sz w:val="18"/>
          <w:szCs w:val="18"/>
          <w:lang w:val="en"/>
        </w:rPr>
      </w:pPr>
      <w:r w:rsidRPr="009E671B">
        <w:rPr>
          <w:rFonts w:ascii="Trebuchet MS" w:eastAsia="Times New Roman" w:hAnsi="Trebuchet MS" w:cs="Times New Roman"/>
          <w:color w:val="1F497D" w:themeColor="text2"/>
          <w:sz w:val="18"/>
          <w:szCs w:val="18"/>
          <w:lang w:val="en"/>
        </w:rPr>
        <w:t>Date of procedure</w:t>
      </w:r>
    </w:p>
    <w:p w:rsidR="009E671B" w:rsidRPr="009E671B" w:rsidRDefault="009E671B" w:rsidP="009E671B">
      <w:pPr>
        <w:pStyle w:val="ListParagraph"/>
        <w:numPr>
          <w:ilvl w:val="0"/>
          <w:numId w:val="32"/>
        </w:numPr>
        <w:spacing w:line="240" w:lineRule="auto"/>
        <w:rPr>
          <w:rFonts w:ascii="Trebuchet MS" w:eastAsia="Times New Roman" w:hAnsi="Trebuchet MS" w:cs="Times New Roman"/>
          <w:color w:val="1F497D" w:themeColor="text2"/>
          <w:sz w:val="18"/>
          <w:szCs w:val="18"/>
          <w:lang w:val="en"/>
        </w:rPr>
      </w:pPr>
      <w:r w:rsidRPr="009E671B">
        <w:rPr>
          <w:rFonts w:ascii="Trebuchet MS" w:eastAsia="Times New Roman" w:hAnsi="Trebuchet MS" w:cs="Times New Roman"/>
          <w:color w:val="1F497D" w:themeColor="text2"/>
          <w:sz w:val="18"/>
          <w:szCs w:val="18"/>
          <w:lang w:val="en"/>
        </w:rPr>
        <w:t>Facility</w:t>
      </w:r>
    </w:p>
    <w:p w:rsidR="009E671B" w:rsidRPr="009E671B" w:rsidRDefault="009E671B" w:rsidP="009E671B">
      <w:pPr>
        <w:pStyle w:val="ListParagraph"/>
        <w:numPr>
          <w:ilvl w:val="0"/>
          <w:numId w:val="32"/>
        </w:numPr>
        <w:spacing w:line="240" w:lineRule="auto"/>
        <w:rPr>
          <w:rFonts w:ascii="Trebuchet MS" w:eastAsia="Times New Roman" w:hAnsi="Trebuchet MS" w:cs="Times New Roman"/>
          <w:color w:val="1F497D" w:themeColor="text2"/>
          <w:sz w:val="18"/>
          <w:szCs w:val="18"/>
          <w:lang w:val="en"/>
        </w:rPr>
      </w:pPr>
      <w:r w:rsidRPr="009E671B">
        <w:rPr>
          <w:rFonts w:ascii="Trebuchet MS" w:eastAsia="Times New Roman" w:hAnsi="Trebuchet MS" w:cs="Times New Roman"/>
          <w:color w:val="1F497D" w:themeColor="text2"/>
          <w:sz w:val="18"/>
          <w:szCs w:val="18"/>
          <w:lang w:val="en"/>
        </w:rPr>
        <w:t>Oswestry Disability Index dates and scores, including number of questions answered (pre and post-op)</w:t>
      </w:r>
    </w:p>
    <w:p w:rsidR="009E671B" w:rsidRPr="009E671B" w:rsidRDefault="009E671B" w:rsidP="009E671B">
      <w:pPr>
        <w:pStyle w:val="ListParagraph"/>
        <w:numPr>
          <w:ilvl w:val="0"/>
          <w:numId w:val="32"/>
        </w:numPr>
        <w:spacing w:line="240" w:lineRule="auto"/>
        <w:rPr>
          <w:rFonts w:ascii="Trebuchet MS" w:eastAsia="Times New Roman" w:hAnsi="Trebuchet MS" w:cs="Times New Roman"/>
          <w:color w:val="1F497D" w:themeColor="text2"/>
          <w:sz w:val="18"/>
          <w:szCs w:val="18"/>
          <w:lang w:val="en"/>
        </w:rPr>
      </w:pPr>
      <w:r w:rsidRPr="009E671B">
        <w:rPr>
          <w:rFonts w:ascii="Trebuchet MS" w:eastAsia="Times New Roman" w:hAnsi="Trebuchet MS" w:cs="Times New Roman"/>
          <w:color w:val="1F497D" w:themeColor="text2"/>
          <w:sz w:val="18"/>
          <w:szCs w:val="18"/>
          <w:lang w:val="en"/>
        </w:rPr>
        <w:t>EQ5D dates and scores, including health state scores (pre and post-op)</w:t>
      </w:r>
    </w:p>
    <w:p w:rsidR="009E671B" w:rsidRDefault="009E671B" w:rsidP="009E671B">
      <w:pPr>
        <w:pStyle w:val="ListParagraph"/>
        <w:numPr>
          <w:ilvl w:val="0"/>
          <w:numId w:val="32"/>
        </w:numPr>
        <w:spacing w:after="120" w:line="240" w:lineRule="auto"/>
        <w:rPr>
          <w:rFonts w:ascii="Trebuchet MS" w:eastAsia="Times New Roman" w:hAnsi="Trebuchet MS" w:cs="Times New Roman"/>
          <w:color w:val="1F497D" w:themeColor="text2"/>
          <w:sz w:val="18"/>
          <w:szCs w:val="18"/>
          <w:lang w:val="en"/>
        </w:rPr>
      </w:pPr>
      <w:r w:rsidRPr="009E671B">
        <w:rPr>
          <w:rFonts w:ascii="Trebuchet MS" w:eastAsia="Times New Roman" w:hAnsi="Trebuchet MS" w:cs="Times New Roman"/>
          <w:color w:val="1F497D" w:themeColor="text2"/>
          <w:sz w:val="18"/>
          <w:szCs w:val="18"/>
          <w:lang w:val="en"/>
        </w:rPr>
        <w:t>Visual Analog Scale dates and scores (pre and post-op)</w:t>
      </w:r>
    </w:p>
    <w:p w:rsidR="009E671B" w:rsidRPr="009E671B" w:rsidRDefault="009E671B" w:rsidP="009E671B">
      <w:pPr>
        <w:spacing w:after="12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Results of pilot testing and audit:</w:t>
      </w:r>
    </w:p>
    <w:p w:rsidR="009E671B" w:rsidRPr="008A5EE1" w:rsidRDefault="009E671B" w:rsidP="009E671B">
      <w:pPr>
        <w:pStyle w:val="ListParagraph"/>
        <w:numPr>
          <w:ilvl w:val="0"/>
          <w:numId w:val="32"/>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Some groups needed to correct their query code for inclusion of CPT procedure codes or correct expression of ICD-9 codes for exclusion (minor, missing 5th digits)</w:t>
      </w:r>
    </w:p>
    <w:p w:rsidR="009E671B" w:rsidRPr="008A5EE1" w:rsidRDefault="009E671B" w:rsidP="009E671B">
      <w:pPr>
        <w:pStyle w:val="ListParagraph"/>
        <w:numPr>
          <w:ilvl w:val="0"/>
          <w:numId w:val="32"/>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 xml:space="preserve">No difficulties in applying exclusion codes (lumbar spine related cancer, infection or fracture).  Audit demonstrated that submitted patients did not include those with lumbar spine related cancer, infection or fracture. </w:t>
      </w:r>
    </w:p>
    <w:p w:rsidR="009E671B" w:rsidRDefault="009E671B" w:rsidP="009E671B">
      <w:pPr>
        <w:pStyle w:val="ListParagraph"/>
        <w:numPr>
          <w:ilvl w:val="0"/>
          <w:numId w:val="32"/>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Groups did a good job in isolating one clinical reason for the procedure when multiple reasons existed.  Enhanced documentation to support provider indicating reason for procedure.</w:t>
      </w:r>
    </w:p>
    <w:p w:rsidR="009E671B" w:rsidRDefault="009E671B" w:rsidP="009E671B">
      <w:pPr>
        <w:pStyle w:val="ListParagraph"/>
        <w:numPr>
          <w:ilvl w:val="0"/>
          <w:numId w:val="32"/>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Some issues related to height and weight within six months prior to procedure.  Patient’s height and weight need to be most recent prior to procedure, not most recent in the medical record. Orthopedic/ Neurosurgery practices are becoming more accustomed to capturing pre-op height and weight.</w:t>
      </w:r>
    </w:p>
    <w:p w:rsidR="009E671B" w:rsidRDefault="009E671B" w:rsidP="009E671B">
      <w:pPr>
        <w:pStyle w:val="ListParagraph"/>
        <w:numPr>
          <w:ilvl w:val="0"/>
          <w:numId w:val="32"/>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A few instances of ODI miscalculation (math) were noted.</w:t>
      </w:r>
    </w:p>
    <w:p w:rsidR="009E671B" w:rsidRPr="008A5EE1" w:rsidRDefault="009E671B" w:rsidP="009E671B">
      <w:pPr>
        <w:pStyle w:val="ListParagraph"/>
        <w:numPr>
          <w:ilvl w:val="0"/>
          <w:numId w:val="32"/>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Room for further direction and consistency for abstracting/extracting values from tools when a patient makes more than one selection.  Connected with ODI copyright holder for clarification and direction.  Directions for each tool are dependent on guidance from the tool developer.  Will enhance data collection guides to reflect the following when there are two or more selections are made by the patient:</w:t>
      </w:r>
    </w:p>
    <w:p w:rsidR="009E671B" w:rsidRPr="008A5EE1" w:rsidRDefault="009E671B" w:rsidP="009E671B">
      <w:pPr>
        <w:pStyle w:val="ListParagraph"/>
        <w:numPr>
          <w:ilvl w:val="1"/>
          <w:numId w:val="32"/>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ODI -  use the higher (“worst”) the two values selected</w:t>
      </w:r>
    </w:p>
    <w:p w:rsidR="009E671B" w:rsidRPr="008A5EE1" w:rsidRDefault="009E671B" w:rsidP="009E671B">
      <w:pPr>
        <w:pStyle w:val="ListParagraph"/>
        <w:numPr>
          <w:ilvl w:val="1"/>
          <w:numId w:val="32"/>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lastRenderedPageBreak/>
        <w:t>EQ5D- submit the question as blank (this invalidates tool)</w:t>
      </w:r>
    </w:p>
    <w:p w:rsidR="00833325" w:rsidRPr="009E671B" w:rsidRDefault="009E671B" w:rsidP="009E671B">
      <w:pPr>
        <w:pStyle w:val="ListParagraph"/>
        <w:numPr>
          <w:ilvl w:val="1"/>
          <w:numId w:val="32"/>
        </w:numPr>
        <w:spacing w:after="0" w:line="240" w:lineRule="auto"/>
        <w:rPr>
          <w:rFonts w:ascii="Trebuchet MS" w:eastAsia="Times New Roman" w:hAnsi="Trebuchet MS" w:cs="Times New Roman"/>
          <w:color w:val="1F497D" w:themeColor="text2"/>
          <w:sz w:val="18"/>
          <w:szCs w:val="18"/>
          <w:lang w:val="en"/>
        </w:rPr>
      </w:pPr>
      <w:r w:rsidRPr="008A5EE1">
        <w:rPr>
          <w:rFonts w:ascii="Trebuchet MS" w:eastAsia="Times New Roman" w:hAnsi="Trebuchet MS" w:cs="Times New Roman"/>
          <w:color w:val="1F497D" w:themeColor="text2"/>
          <w:sz w:val="18"/>
          <w:szCs w:val="18"/>
          <w:lang w:val="en"/>
        </w:rPr>
        <w:t>VAS Pain Scale- use the higher (“worst”) the two values selected</w:t>
      </w:r>
    </w:p>
    <w:p w:rsidR="007422FD" w:rsidRPr="00092566"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rsidR="0037545D" w:rsidRPr="007F4740" w:rsidRDefault="00092566" w:rsidP="0037545D">
      <w:pPr>
        <w:spacing w:after="0" w:line="240" w:lineRule="auto"/>
        <w:rPr>
          <w:rFonts w:ascii="Trebuchet MS" w:eastAsia="Times New Roman" w:hAnsi="Trebuchet MS" w:cs="Times New Roman"/>
          <w:color w:val="1F497D" w:themeColor="text2"/>
          <w:sz w:val="18"/>
          <w:szCs w:val="18"/>
          <w:lang w:val="en"/>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37545D" w:rsidRPr="007F4740">
        <w:rPr>
          <w:rFonts w:ascii="Trebuchet MS" w:eastAsia="Times New Roman" w:hAnsi="Trebuchet MS" w:cs="Times New Roman"/>
          <w:color w:val="1F497D" w:themeColor="text2"/>
          <w:sz w:val="18"/>
          <w:szCs w:val="18"/>
          <w:lang w:val="en"/>
        </w:rPr>
        <w:t>Pilot results demonstrate that groups can successfully administer patient reported outcome (PRO) assessment tools to their patients and that outcome rates demonstrate some variability.</w:t>
      </w:r>
    </w:p>
    <w:p w:rsidR="0037545D" w:rsidRPr="007F4740" w:rsidRDefault="0037545D" w:rsidP="0037545D">
      <w:p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No changes to the measure population (denominator), exclusions</w:t>
      </w:r>
      <w:r>
        <w:rPr>
          <w:rFonts w:ascii="Trebuchet MS" w:eastAsia="Times New Roman" w:hAnsi="Trebuchet MS" w:cs="Times New Roman"/>
          <w:color w:val="1F497D" w:themeColor="text2"/>
          <w:sz w:val="18"/>
          <w:szCs w:val="18"/>
          <w:lang w:val="en"/>
        </w:rPr>
        <w:t>.</w:t>
      </w:r>
    </w:p>
    <w:p w:rsidR="0037545D" w:rsidRPr="007F4740" w:rsidRDefault="0037545D" w:rsidP="0037545D">
      <w:p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Modifications (made to specifications as a result of pilot)</w:t>
      </w:r>
    </w:p>
    <w:p w:rsidR="0037545D" w:rsidRPr="007F4740" w:rsidRDefault="0037545D" w:rsidP="0037545D">
      <w:pPr>
        <w:pStyle w:val="ListParagraph"/>
        <w:numPr>
          <w:ilvl w:val="0"/>
          <w:numId w:val="30"/>
        </w:num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 xml:space="preserve">Measure calculations to be modified to reflect absolute change (not a percent change) for the functional status (ODI) and pain (VAS) measures </w:t>
      </w:r>
    </w:p>
    <w:p w:rsidR="0037545D" w:rsidRDefault="0037545D" w:rsidP="0037545D">
      <w:pPr>
        <w:pStyle w:val="ListParagraph"/>
        <w:numPr>
          <w:ilvl w:val="0"/>
          <w:numId w:val="30"/>
        </w:num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Clarification for users how to handle/score  multiple responses for a single question based on tool developer’s guidelines (worst response versus invalid tool)</w:t>
      </w:r>
    </w:p>
    <w:p w:rsidR="0037545D" w:rsidRPr="007F4740" w:rsidRDefault="0037545D" w:rsidP="0037545D">
      <w:pPr>
        <w:pStyle w:val="ListParagraph"/>
        <w:numPr>
          <w:ilvl w:val="0"/>
          <w:numId w:val="30"/>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P</w:t>
      </w:r>
      <w:r w:rsidRPr="007F4740">
        <w:rPr>
          <w:rFonts w:ascii="Trebuchet MS" w:eastAsia="Times New Roman" w:hAnsi="Trebuchet MS" w:cs="Times New Roman"/>
          <w:color w:val="1F497D" w:themeColor="text2"/>
          <w:sz w:val="18"/>
          <w:szCs w:val="18"/>
          <w:lang w:val="en"/>
        </w:rPr>
        <w:t>lan transition</w:t>
      </w:r>
      <w:r>
        <w:rPr>
          <w:rFonts w:ascii="Trebuchet MS" w:eastAsia="Times New Roman" w:hAnsi="Trebuchet MS" w:cs="Times New Roman"/>
          <w:color w:val="1F497D" w:themeColor="text2"/>
          <w:sz w:val="18"/>
          <w:szCs w:val="18"/>
          <w:lang w:val="en"/>
        </w:rPr>
        <w:t xml:space="preserve"> from EQ5D</w:t>
      </w:r>
      <w:r w:rsidRPr="007F4740">
        <w:rPr>
          <w:rFonts w:ascii="Trebuchet MS" w:eastAsia="Times New Roman" w:hAnsi="Trebuchet MS" w:cs="Times New Roman"/>
          <w:color w:val="1F497D" w:themeColor="text2"/>
          <w:sz w:val="18"/>
          <w:szCs w:val="18"/>
          <w:lang w:val="en"/>
        </w:rPr>
        <w:t xml:space="preserve"> to PROMIS Global-10 for procedure dates 1-1-2015</w:t>
      </w:r>
    </w:p>
    <w:p w:rsidR="0037545D" w:rsidRPr="007F4740" w:rsidRDefault="0037545D" w:rsidP="0037545D">
      <w:p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Future Considerations</w:t>
      </w:r>
      <w:r>
        <w:rPr>
          <w:rFonts w:ascii="Trebuchet MS" w:eastAsia="Times New Roman" w:hAnsi="Trebuchet MS" w:cs="Times New Roman"/>
          <w:color w:val="1F497D" w:themeColor="text2"/>
          <w:sz w:val="18"/>
          <w:szCs w:val="18"/>
          <w:lang w:val="en"/>
        </w:rPr>
        <w:t>:</w:t>
      </w:r>
    </w:p>
    <w:p w:rsidR="0037545D" w:rsidRPr="007F4740" w:rsidRDefault="0037545D" w:rsidP="0037545D">
      <w:p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 xml:space="preserve">Evaluate rates of pre-operative and post-operative PRO administration to determine suitability of outcome measures for public reporting as denominator for calculating average change depends on tool administration to patients.  Ideally, a fairly high pre-operative rate is expected and a target goal of 70% post-operative capture. </w:t>
      </w:r>
    </w:p>
    <w:p w:rsidR="009E671B" w:rsidRPr="009E671B" w:rsidRDefault="0037545D" w:rsidP="009E671B">
      <w:p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Measure development work group recommends that these measures be considered for wider imple</w:t>
      </w:r>
      <w:r>
        <w:rPr>
          <w:rFonts w:ascii="Trebuchet MS" w:eastAsia="Times New Roman" w:hAnsi="Trebuchet MS" w:cs="Times New Roman"/>
          <w:color w:val="1F497D" w:themeColor="text2"/>
          <w:sz w:val="18"/>
          <w:szCs w:val="18"/>
          <w:lang w:val="en"/>
        </w:rPr>
        <w:t>mentation and use in Minnesota.  Measures approved by the MNCM Measurement and Reporting Committee and the Board of Directors in August/ October 2014.</w:t>
      </w:r>
    </w:p>
    <w:p w:rsidR="009E671B" w:rsidRPr="001969A8" w:rsidRDefault="009E671B" w:rsidP="001969A8">
      <w:pPr>
        <w:spacing w:after="0" w:line="240" w:lineRule="auto"/>
        <w:rPr>
          <w:rFonts w:ascii="Trebuchet MS" w:eastAsia="Times New Roman" w:hAnsi="Trebuchet MS" w:cs="Times New Roman"/>
          <w:color w:val="1F497D" w:themeColor="text2"/>
          <w:sz w:val="18"/>
          <w:szCs w:val="18"/>
          <w:lang w:val="en"/>
        </w:rPr>
      </w:pPr>
    </w:p>
    <w:p w:rsidR="008A403A" w:rsidRPr="00A25024" w:rsidRDefault="0037545D" w:rsidP="00DB3627">
      <w:pPr>
        <w:autoSpaceDE w:val="0"/>
        <w:autoSpaceDN w:val="0"/>
        <w:adjustRightInd w:val="0"/>
        <w:spacing w:after="0" w:line="240" w:lineRule="auto"/>
        <w:rPr>
          <w:rFonts w:cstheme="minorHAnsi"/>
          <w:bCs/>
        </w:rPr>
      </w:pPr>
      <w:r>
        <w:rPr>
          <w:rFonts w:cstheme="minorHAnsi"/>
          <w:bCs/>
        </w:rPr>
        <w:t>_</w:t>
      </w:r>
      <w:r w:rsidR="00483E94">
        <w:rPr>
          <w:rFonts w:cstheme="minorHAnsi"/>
          <w:bCs/>
        </w:rPr>
        <w:t>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proofErr w:type="gramStart"/>
      <w:r w:rsidR="00833325" w:rsidRPr="00A25024">
        <w:rPr>
          <w:rFonts w:cstheme="minorHAnsi"/>
          <w:bCs/>
        </w:rPr>
        <w:t>)</w:t>
      </w:r>
      <w:proofErr w:type="gramEnd"/>
      <w:r w:rsidR="0037545D">
        <w:rPr>
          <w:rFonts w:cstheme="minorHAnsi"/>
          <w:bCs/>
        </w:rPr>
        <w:br/>
      </w:r>
      <w:r w:rsidR="0037545D" w:rsidRPr="0037545D">
        <w:rPr>
          <w:rFonts w:ascii="Trebuchet MS" w:eastAsia="Times New Roman" w:hAnsi="Trebuchet MS" w:cs="Times New Roman"/>
          <w:color w:val="1F497D" w:themeColor="text2"/>
          <w:sz w:val="18"/>
          <w:szCs w:val="18"/>
          <w:lang w:val="en"/>
        </w:rPr>
        <w:t>Exclusions for this measure were determined by the measure development work group during the course of</w:t>
      </w:r>
      <w:r w:rsidR="0037545D">
        <w:rPr>
          <w:rFonts w:cstheme="minorHAnsi"/>
          <w:bCs/>
        </w:rPr>
        <w:t xml:space="preserve"> </w:t>
      </w:r>
      <w:r w:rsidR="0037545D" w:rsidRPr="0037545D">
        <w:rPr>
          <w:rFonts w:ascii="Trebuchet MS" w:eastAsia="Times New Roman" w:hAnsi="Trebuchet MS" w:cs="Times New Roman"/>
          <w:color w:val="1F497D" w:themeColor="text2"/>
          <w:sz w:val="18"/>
          <w:szCs w:val="18"/>
          <w:lang w:val="en"/>
        </w:rPr>
        <w:t xml:space="preserve">development.  The rationale for the exclusion of patients who are undergoing spinal fusion procedures for spine related cancer, acute trauma, infection or scoliosis is that these patients have could have significantly different outcomes and not be comparable to </w:t>
      </w:r>
      <w:r w:rsidR="0037545D">
        <w:rPr>
          <w:rFonts w:ascii="Trebuchet MS" w:eastAsia="Times New Roman" w:hAnsi="Trebuchet MS" w:cs="Times New Roman"/>
          <w:color w:val="1F497D" w:themeColor="text2"/>
          <w:sz w:val="18"/>
          <w:szCs w:val="18"/>
          <w:lang w:val="en"/>
        </w:rPr>
        <w:t>patients undergoing the procedure for relief of back and/or leg pain.</w:t>
      </w:r>
    </w:p>
    <w:p w:rsidR="00833325" w:rsidRPr="00A25024" w:rsidRDefault="00833325"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37545D" w:rsidRPr="0037545D">
        <w:rPr>
          <w:rFonts w:ascii="Trebuchet MS" w:eastAsia="Times New Roman" w:hAnsi="Trebuchet MS" w:cs="Times New Roman"/>
          <w:color w:val="1F497D" w:themeColor="text2"/>
          <w:sz w:val="18"/>
          <w:szCs w:val="18"/>
          <w:lang w:val="en"/>
        </w:rPr>
        <w:t>In the direct data submission process</w:t>
      </w:r>
      <w:r w:rsidR="0037545D">
        <w:rPr>
          <w:rFonts w:ascii="Trebuchet MS" w:eastAsia="Times New Roman" w:hAnsi="Trebuchet MS" w:cs="Times New Roman"/>
          <w:color w:val="1F497D" w:themeColor="text2"/>
          <w:sz w:val="18"/>
          <w:szCs w:val="18"/>
          <w:lang w:val="en"/>
        </w:rPr>
        <w:t>, utilized by MNCM and the practices in MN, a minimum data set of eligible patients (patient level data) is submitted to a HIPAA secure portal for rate calculation</w:t>
      </w:r>
      <w:r w:rsidR="00CA2FA0">
        <w:rPr>
          <w:rFonts w:ascii="Trebuchet MS" w:eastAsia="Times New Roman" w:hAnsi="Trebuchet MS" w:cs="Times New Roman"/>
          <w:color w:val="1F497D" w:themeColor="text2"/>
          <w:sz w:val="18"/>
          <w:szCs w:val="18"/>
          <w:lang w:val="en"/>
        </w:rPr>
        <w:t xml:space="preserve"> and fed to our consumer facing website for public reporting.  We do not collect this information from patients that are excluded from the measure.  These exclusions are performed “up-front” and are assured that this is happening in a standardized way for all practices by 1) denominator certification and supplying of query code that outlines exclusion codes and 2) during validation audit confirming that the patient does not have exclusion conditions.</w:t>
      </w:r>
    </w:p>
    <w:p w:rsidR="00092566" w:rsidRPr="00092566" w:rsidRDefault="00092566" w:rsidP="00092566">
      <w:pPr>
        <w:autoSpaceDE w:val="0"/>
        <w:autoSpaceDN w:val="0"/>
        <w:adjustRightInd w:val="0"/>
        <w:spacing w:after="0" w:line="240" w:lineRule="auto"/>
        <w:rPr>
          <w:rFonts w:cstheme="minorHAnsi"/>
          <w:bCs/>
        </w:rPr>
      </w:pPr>
    </w:p>
    <w:p w:rsidR="00CA2FA0" w:rsidRPr="00A25024" w:rsidRDefault="00092566" w:rsidP="00CA2FA0">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CA2FA0" w:rsidRPr="0037545D">
        <w:rPr>
          <w:rFonts w:ascii="Trebuchet MS" w:eastAsia="Times New Roman" w:hAnsi="Trebuchet MS" w:cs="Times New Roman"/>
          <w:color w:val="1F497D" w:themeColor="text2"/>
          <w:sz w:val="18"/>
          <w:szCs w:val="18"/>
          <w:lang w:val="en"/>
        </w:rPr>
        <w:t xml:space="preserve">The rationale for the exclusion of patients who are undergoing spinal fusion procedures for spine related cancer, acute trauma, infection or scoliosis is that these patients have could have significantly different outcomes and not be comparable to </w:t>
      </w:r>
      <w:r w:rsidR="00CA2FA0">
        <w:rPr>
          <w:rFonts w:ascii="Trebuchet MS" w:eastAsia="Times New Roman" w:hAnsi="Trebuchet MS" w:cs="Times New Roman"/>
          <w:color w:val="1F497D" w:themeColor="text2"/>
          <w:sz w:val="18"/>
          <w:szCs w:val="18"/>
          <w:lang w:val="en"/>
        </w:rPr>
        <w:t>patients undergoing the procedure for relief of back and/or leg pain.</w:t>
      </w:r>
    </w:p>
    <w:p w:rsidR="007422FD" w:rsidRPr="00A25024" w:rsidRDefault="007422FD" w:rsidP="00DB3627">
      <w:pPr>
        <w:autoSpaceDE w:val="0"/>
        <w:autoSpaceDN w:val="0"/>
        <w:adjustRightInd w:val="0"/>
        <w:spacing w:after="0" w:line="240" w:lineRule="auto"/>
        <w:rPr>
          <w:rFonts w:cstheme="minorHAnsi"/>
          <w:bCs/>
        </w:rPr>
      </w:pP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lastRenderedPageBreak/>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rsidR="00033038" w:rsidRPr="005232D6" w:rsidRDefault="00B266B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B266B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CA2FA0">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CA2FA0">
            <w:rPr>
              <w:rStyle w:val="Style4"/>
              <w:u w:val="none"/>
            </w:rPr>
            <w:t>16 potential</w:t>
          </w:r>
        </w:sdtContent>
      </w:sdt>
      <w:r w:rsidR="00E562C0" w:rsidRPr="006F22A5">
        <w:rPr>
          <w:rStyle w:val="Style4"/>
          <w:u w:val="none"/>
        </w:rPr>
        <w:t xml:space="preserve"> </w:t>
      </w:r>
      <w:r w:rsidR="00743E46" w:rsidRPr="005232D6">
        <w:rPr>
          <w:rFonts w:cstheme="minorHAnsi"/>
          <w:b/>
          <w:bCs/>
        </w:rPr>
        <w:t>risk factors</w:t>
      </w:r>
    </w:p>
    <w:p w:rsidR="00743E46" w:rsidRPr="005232D6" w:rsidRDefault="00B266B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B266B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CA2FA0" w:rsidRPr="002D6D8D" w:rsidRDefault="00092566" w:rsidP="00CA2FA0">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r w:rsidR="00CA2FA0" w:rsidRPr="002D6D8D">
        <w:rPr>
          <w:rFonts w:ascii="Trebuchet MS" w:eastAsia="Times New Roman" w:hAnsi="Trebuchet MS" w:cs="Times New Roman"/>
          <w:color w:val="1F497D" w:themeColor="text2"/>
          <w:sz w:val="18"/>
          <w:szCs w:val="18"/>
          <w:lang w:val="en"/>
        </w:rPr>
        <w:t>During the measure development process, the expert panel discusses potential variables for risk adjustment that are important to consider for the measured population, in this case patients with undergoing lumbar spine fusion procedures.  The group decides what clinical variables in addition to the MNCM standard demographic data (gender, age, zip, race/ethnicity, country of origin, primary language and insurance product) to collect through the data collection and submission process.  Risk adjustment variables selected for this measure additionally include: history of prior back surgery, clinical condition reason for procedure, pre-op functional status score (ODI), pre-op VAS pain scale scores, pre-operative quality of life (PROMIS Global-10) general mental health subscale and general physical health subscale, BMI and tobacco use.</w:t>
      </w:r>
    </w:p>
    <w:p w:rsidR="00CA2FA0" w:rsidRPr="002D6D8D" w:rsidRDefault="00CA2FA0" w:rsidP="00CA2FA0">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sidRPr="002D6D8D">
        <w:rPr>
          <w:rFonts w:ascii="Trebuchet MS" w:eastAsia="Times New Roman" w:hAnsi="Trebuchet MS" w:cs="Times New Roman"/>
          <w:color w:val="1F497D" w:themeColor="text2"/>
          <w:sz w:val="18"/>
          <w:szCs w:val="18"/>
          <w:lang w:val="en"/>
        </w:rPr>
        <w:t>The potential risk adjustment variables are then evaluated for appropriate inclusion in the model based on a t value outside the range of -2.0 and +2.0.</w:t>
      </w:r>
    </w:p>
    <w:p w:rsidR="00CA2FA0" w:rsidRPr="002D6D8D" w:rsidRDefault="00CA2FA0" w:rsidP="00CA2FA0">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p>
    <w:p w:rsidR="00CA2FA0" w:rsidRPr="002D6D8D" w:rsidRDefault="00CA2FA0" w:rsidP="00CA2FA0">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sidRPr="002D6D8D">
        <w:rPr>
          <w:rFonts w:ascii="Trebuchet MS" w:eastAsia="Times New Roman" w:hAnsi="Trebuchet MS" w:cs="Times New Roman"/>
          <w:color w:val="1F497D" w:themeColor="text2"/>
          <w:sz w:val="18"/>
          <w:szCs w:val="18"/>
          <w:lang w:val="en"/>
        </w:rPr>
        <w:t>This is a new measure; recently completed pilot testing.  Risk adjustment model testing will commence mid 2015 following wide spread (state-wide) implementation of this measure.</w:t>
      </w:r>
    </w:p>
    <w:p w:rsidR="00CA2FA0" w:rsidRPr="002D6D8D" w:rsidRDefault="00CA2FA0" w:rsidP="00CA2FA0">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p>
    <w:p w:rsidR="00CA2FA0" w:rsidRPr="002D6D8D" w:rsidRDefault="00CA2FA0" w:rsidP="00CA2FA0">
      <w:pPr>
        <w:spacing w:after="0" w:line="240" w:lineRule="auto"/>
        <w:rPr>
          <w:rFonts w:ascii="Trebuchet MS" w:eastAsia="Times New Roman" w:hAnsi="Trebuchet MS" w:cs="Times New Roman"/>
          <w:color w:val="1F497D" w:themeColor="text2"/>
          <w:sz w:val="18"/>
          <w:szCs w:val="18"/>
          <w:lang w:val="en"/>
        </w:rPr>
      </w:pPr>
      <w:r w:rsidRPr="002D6D8D">
        <w:rPr>
          <w:rFonts w:ascii="Trebuchet MS" w:eastAsia="Times New Roman" w:hAnsi="Trebuchet MS" w:cs="Times New Roman"/>
          <w:color w:val="1F497D" w:themeColor="text2"/>
          <w:sz w:val="18"/>
          <w:szCs w:val="18"/>
          <w:lang w:val="en"/>
        </w:rPr>
        <w:t xml:space="preserve">MN Community Measurement’s Board of Directors has reviewed and discussed the issues surrounding risk adjustment of outcome data that is currently reported on our consumer facing public website at </w:t>
      </w:r>
      <w:hyperlink r:id="rId9" w:history="1">
        <w:r w:rsidRPr="002D6D8D">
          <w:rPr>
            <w:rFonts w:ascii="Trebuchet MS" w:eastAsia="Times New Roman" w:hAnsi="Trebuchet MS" w:cs="Times New Roman"/>
            <w:color w:val="1F497D" w:themeColor="text2"/>
            <w:sz w:val="18"/>
            <w:szCs w:val="18"/>
            <w:lang w:val="en"/>
          </w:rPr>
          <w:t>www.mnhealthscores.org</w:t>
        </w:r>
      </w:hyperlink>
      <w:r w:rsidRPr="002D6D8D">
        <w:rPr>
          <w:rFonts w:ascii="Trebuchet MS" w:eastAsia="Times New Roman" w:hAnsi="Trebuchet MS" w:cs="Times New Roman"/>
          <w:color w:val="1F497D" w:themeColor="text2"/>
          <w:sz w:val="18"/>
          <w:szCs w:val="18"/>
          <w:lang w:val="en"/>
        </w:rPr>
        <w:t xml:space="preserve"> and used in many health plan and state contracts for demonstrating excellence in outcomes.  Historically, the Board has favored the public reporting of unadjusted rates determining that the wide variation in results for chronic disease measures were the result of variation in care process, rather than patient risk factors.  As the breadth and complexity of the measures we are reporting have expanded and care processes and tools used by the community have become more standardized, the Board has convened a Risk Adjustment Task Force to evaluate methodologies for public reporting.  Their preliminary recommendations indicate that publicly reported data should be risk adjusted using the “Actual to Expected” methodology, which would allow the unadjusted rate to be simultaneously preserved and displayed. </w:t>
      </w:r>
    </w:p>
    <w:p w:rsidR="00CA2FA0" w:rsidRPr="002D6D8D" w:rsidRDefault="00CA2FA0" w:rsidP="00CA2FA0">
      <w:pPr>
        <w:pStyle w:val="Default"/>
        <w:rPr>
          <w:rFonts w:ascii="Trebuchet MS" w:eastAsia="Times New Roman" w:hAnsi="Trebuchet MS" w:cs="Times New Roman"/>
          <w:color w:val="1F497D" w:themeColor="text2"/>
          <w:sz w:val="18"/>
          <w:szCs w:val="18"/>
          <w:lang w:val="en"/>
        </w:rPr>
      </w:pPr>
    </w:p>
    <w:p w:rsidR="00CA2FA0" w:rsidRPr="002D6D8D" w:rsidRDefault="00CA2FA0" w:rsidP="00CA2FA0">
      <w:pPr>
        <w:pStyle w:val="Default"/>
        <w:rPr>
          <w:rFonts w:ascii="Trebuchet MS" w:eastAsia="Times New Roman" w:hAnsi="Trebuchet MS" w:cs="Times New Roman"/>
          <w:color w:val="1F497D" w:themeColor="text2"/>
          <w:sz w:val="18"/>
          <w:szCs w:val="18"/>
          <w:lang w:val="en"/>
        </w:rPr>
      </w:pPr>
      <w:r w:rsidRPr="002D6D8D">
        <w:rPr>
          <w:rFonts w:ascii="Trebuchet MS" w:eastAsia="Times New Roman" w:hAnsi="Trebuchet MS" w:cs="Times New Roman"/>
          <w:color w:val="1F497D" w:themeColor="text2"/>
          <w:sz w:val="18"/>
          <w:szCs w:val="18"/>
          <w:lang w:val="en"/>
        </w:rPr>
        <w:t xml:space="preserve">The effect of risk adjustment on clinic ranking is examined in three ways. First, the clinic’s unadjusted and adjusted quality measures are compared using correlation analysis. Two types of correlation are used, Pearson and Kendall. Pearson’s correlation examines the correlation when the measures are treated as continuous measures. A high correlation (close to 1) means that the two measures strongly co-vary, when one is high the other is high. Kendall’s correlation examines the similarity between the unadjusted and adjusted quality measure in terms of the similarity in the way clinics are ranked by the measures. Because of the focus of Kendall’s correlation on comparing ranks and the interest in the use of clinic quality scores for clinic comparison, Kendall’s correlation is likely to be the most useful correlation measure. </w:t>
      </w:r>
    </w:p>
    <w:p w:rsidR="00092566" w:rsidRPr="00CA2FA0" w:rsidRDefault="00CA2FA0" w:rsidP="00001D73">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sidRPr="002D6D8D">
        <w:rPr>
          <w:rFonts w:ascii="Trebuchet MS" w:eastAsia="Times New Roman" w:hAnsi="Trebuchet MS" w:cs="Times New Roman"/>
          <w:color w:val="1F497D" w:themeColor="text2"/>
          <w:sz w:val="18"/>
          <w:szCs w:val="18"/>
          <w:lang w:val="en"/>
        </w:rPr>
        <w:t xml:space="preserve">The second comparison ranks the clinics into performance rank </w:t>
      </w:r>
      <w:proofErr w:type="spellStart"/>
      <w:r w:rsidRPr="002D6D8D">
        <w:rPr>
          <w:rFonts w:ascii="Trebuchet MS" w:eastAsia="Times New Roman" w:hAnsi="Trebuchet MS" w:cs="Times New Roman"/>
          <w:color w:val="1F497D" w:themeColor="text2"/>
          <w:sz w:val="18"/>
          <w:szCs w:val="18"/>
          <w:lang w:val="en"/>
        </w:rPr>
        <w:t>deciles</w:t>
      </w:r>
      <w:proofErr w:type="spellEnd"/>
      <w:r w:rsidRPr="002D6D8D">
        <w:rPr>
          <w:rFonts w:ascii="Trebuchet MS" w:eastAsia="Times New Roman" w:hAnsi="Trebuchet MS" w:cs="Times New Roman"/>
          <w:color w:val="1F497D" w:themeColor="text2"/>
          <w:sz w:val="18"/>
          <w:szCs w:val="18"/>
          <w:lang w:val="en"/>
        </w:rPr>
        <w:t xml:space="preserve"> based on the unadjusted and adjusted scores and then examines how </w:t>
      </w:r>
      <w:proofErr w:type="spellStart"/>
      <w:r w:rsidRPr="002D6D8D">
        <w:rPr>
          <w:rFonts w:ascii="Trebuchet MS" w:eastAsia="Times New Roman" w:hAnsi="Trebuchet MS" w:cs="Times New Roman"/>
          <w:color w:val="1F497D" w:themeColor="text2"/>
          <w:sz w:val="18"/>
          <w:szCs w:val="18"/>
          <w:lang w:val="en"/>
        </w:rPr>
        <w:t>decile</w:t>
      </w:r>
      <w:proofErr w:type="spellEnd"/>
      <w:r w:rsidRPr="002D6D8D">
        <w:rPr>
          <w:rFonts w:ascii="Trebuchet MS" w:eastAsia="Times New Roman" w:hAnsi="Trebuchet MS" w:cs="Times New Roman"/>
          <w:color w:val="1F497D" w:themeColor="text2"/>
          <w:sz w:val="18"/>
          <w:szCs w:val="18"/>
          <w:lang w:val="en"/>
        </w:rPr>
        <w:t xml:space="preserve"> rankings based on unadjusted measures compare to </w:t>
      </w:r>
      <w:proofErr w:type="spellStart"/>
      <w:r w:rsidRPr="002D6D8D">
        <w:rPr>
          <w:rFonts w:ascii="Trebuchet MS" w:eastAsia="Times New Roman" w:hAnsi="Trebuchet MS" w:cs="Times New Roman"/>
          <w:color w:val="1F497D" w:themeColor="text2"/>
          <w:sz w:val="18"/>
          <w:szCs w:val="18"/>
          <w:lang w:val="en"/>
        </w:rPr>
        <w:t>decile</w:t>
      </w:r>
      <w:proofErr w:type="spellEnd"/>
      <w:r w:rsidRPr="002D6D8D">
        <w:rPr>
          <w:rFonts w:ascii="Trebuchet MS" w:eastAsia="Times New Roman" w:hAnsi="Trebuchet MS" w:cs="Times New Roman"/>
          <w:color w:val="1F497D" w:themeColor="text2"/>
          <w:sz w:val="18"/>
          <w:szCs w:val="18"/>
          <w:lang w:val="en"/>
        </w:rPr>
        <w:t xml:space="preserve"> rankings based on adjusted measures. The third comparison ranks clinics into Poor, Below Average, Average, Above Average, and Excellent categories using statistical methods that take into account the quality measure’s confidence interval </w:t>
      </w:r>
      <w:r w:rsidRPr="002D6D8D">
        <w:rPr>
          <w:rFonts w:ascii="Trebuchet MS" w:eastAsia="Times New Roman" w:hAnsi="Trebuchet MS" w:cs="Times New Roman"/>
          <w:color w:val="1F497D" w:themeColor="text2"/>
          <w:sz w:val="18"/>
          <w:szCs w:val="18"/>
          <w:lang w:val="en"/>
        </w:rPr>
        <w:lastRenderedPageBreak/>
        <w:t>which is calculated based on the number of patients each clinic reports(11, 12). These two methods are compared directly in our accompanying report on the quality deviations ranking approach.</w:t>
      </w:r>
    </w:p>
    <w:p w:rsidR="00001D73" w:rsidRPr="00001D73" w:rsidRDefault="00001D73" w:rsidP="00001D73">
      <w:pPr>
        <w:autoSpaceDE w:val="0"/>
        <w:autoSpaceDN w:val="0"/>
        <w:adjustRightInd w:val="0"/>
        <w:spacing w:after="0" w:line="240" w:lineRule="auto"/>
        <w:rPr>
          <w:rFonts w:cstheme="minorHAnsi"/>
          <w:bCs/>
        </w:rPr>
      </w:pPr>
    </w:p>
    <w:p w:rsidR="00092566" w:rsidRPr="00CE33C6" w:rsidRDefault="00092566" w:rsidP="00001D73">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Pr>
          <w:rFonts w:cstheme="minorHAnsi"/>
          <w:b/>
          <w:bCs/>
        </w:rPr>
        <w:t xml:space="preserve">2b4.4.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r w:rsidR="00CE33C6" w:rsidRPr="002D6D8D">
        <w:rPr>
          <w:rFonts w:ascii="Trebuchet MS" w:eastAsia="Times New Roman" w:hAnsi="Trebuchet MS" w:cs="Times New Roman"/>
          <w:color w:val="1F497D" w:themeColor="text2"/>
          <w:sz w:val="18"/>
          <w:szCs w:val="18"/>
          <w:lang w:val="en"/>
        </w:rPr>
        <w:t>This is a new measure; recently completed pilot testing.  Risk adjustment model testing will commence mid 2015 following wide spread (state-wide) implementation of this measure.</w:t>
      </w:r>
    </w:p>
    <w:p w:rsidR="00001D73" w:rsidRPr="00001D73" w:rsidRDefault="00001D73" w:rsidP="00001D73">
      <w:pPr>
        <w:autoSpaceDE w:val="0"/>
        <w:autoSpaceDN w:val="0"/>
        <w:adjustRightInd w:val="0"/>
        <w:spacing w:after="0" w:line="240" w:lineRule="auto"/>
        <w:rPr>
          <w:rFonts w:cstheme="minorHAnsi"/>
          <w:b/>
          <w:bCs/>
        </w:rPr>
      </w:pP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CE33C6">
        <w:rPr>
          <w:rFonts w:cstheme="minorHAnsi"/>
          <w:bCs/>
        </w:rPr>
        <w:t>)</w:t>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r w:rsidR="00092566" w:rsidRPr="00A25024">
        <w:rPr>
          <w:rFonts w:cstheme="minorHAnsi"/>
          <w:bCs/>
        </w:rPr>
        <w:br/>
      </w:r>
    </w:p>
    <w:p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092566" w:rsidP="00092566">
      <w:pPr>
        <w:pStyle w:val="ListParagraph"/>
        <w:rPr>
          <w:rFonts w:cstheme="minorHAnsi"/>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rsidR="00D61410" w:rsidRPr="00A25024" w:rsidRDefault="00D61410"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D61410" w:rsidRPr="00927027" w:rsidRDefault="00D6141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
          <w:bCs/>
        </w:rPr>
        <w:lastRenderedPageBreak/>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4907BD" w:rsidRDefault="008F7E67" w:rsidP="004907BD">
      <w:pPr>
        <w:spacing w:after="0" w:line="240" w:lineRule="auto"/>
        <w:rPr>
          <w:rFonts w:ascii="Trebuchet MS" w:eastAsia="Times New Roman" w:hAnsi="Trebuchet MS" w:cs="Times New Roman"/>
          <w:color w:val="1F497D" w:themeColor="text2"/>
          <w:sz w:val="18"/>
          <w:szCs w:val="18"/>
          <w:lang w:val="en"/>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004907BD">
        <w:rPr>
          <w:rFonts w:cstheme="minorHAnsi"/>
          <w:bCs/>
        </w:rPr>
        <w:t>)</w:t>
      </w:r>
      <w:r w:rsidR="004907BD">
        <w:rPr>
          <w:rFonts w:cstheme="minorHAnsi"/>
          <w:bCs/>
        </w:rPr>
        <w:br/>
      </w:r>
      <w:r w:rsidR="004907BD">
        <w:rPr>
          <w:rFonts w:ascii="Trebuchet MS" w:eastAsia="Times New Roman" w:hAnsi="Trebuchet MS" w:cs="Times New Roman"/>
          <w:color w:val="1F497D" w:themeColor="text2"/>
          <w:sz w:val="18"/>
          <w:szCs w:val="18"/>
          <w:lang w:val="en"/>
        </w:rPr>
        <w:t xml:space="preserve">Patients who are missing either a pre-op or a post-op assessment are not included in the denominator for calculating the average change in function.  </w:t>
      </w:r>
    </w:p>
    <w:p w:rsidR="004907BD" w:rsidRDefault="004907BD" w:rsidP="004907BD">
      <w:pPr>
        <w:spacing w:after="0" w:line="240" w:lineRule="auto"/>
        <w:rPr>
          <w:rFonts w:ascii="Trebuchet MS" w:eastAsia="Times New Roman" w:hAnsi="Trebuchet MS" w:cs="Times New Roman"/>
          <w:color w:val="1F497D" w:themeColor="text2"/>
          <w:sz w:val="18"/>
          <w:szCs w:val="18"/>
          <w:lang w:val="en"/>
        </w:rPr>
      </w:pPr>
    </w:p>
    <w:p w:rsidR="008F7E67" w:rsidRDefault="004907BD" w:rsidP="004907BD">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Patients with missing data (do not have both a completed pre-op or post-op ODI assessment tool) are tracked and accounted for by 1) the requirement for their submission of patient level data despite incomplete tool usage and 2) rates of tool administration by practice for monitoring the stability and reliability of the measure prior to any use or reporting of the outcome measure.</w:t>
      </w:r>
    </w:p>
    <w:p w:rsidR="004907BD" w:rsidRDefault="004907BD" w:rsidP="004907BD">
      <w:pPr>
        <w:spacing w:after="0" w:line="240" w:lineRule="auto"/>
        <w:rPr>
          <w:rFonts w:ascii="Trebuchet MS" w:eastAsia="Times New Roman" w:hAnsi="Trebuchet MS" w:cs="Times New Roman"/>
          <w:color w:val="1F497D" w:themeColor="text2"/>
          <w:sz w:val="18"/>
          <w:szCs w:val="18"/>
          <w:lang w:val="en"/>
        </w:rPr>
      </w:pPr>
    </w:p>
    <w:p w:rsidR="004907BD" w:rsidRDefault="004907BD" w:rsidP="004907BD">
      <w:pPr>
        <w:spacing w:after="0" w:line="240" w:lineRule="auto"/>
        <w:rPr>
          <w:rFonts w:ascii="Trebuchet MS" w:eastAsia="Times New Roman" w:hAnsi="Trebuchet MS" w:cs="Times New Roman"/>
          <w:color w:val="1F497D" w:themeColor="text2"/>
          <w:sz w:val="18"/>
          <w:szCs w:val="18"/>
          <w:lang w:val="en"/>
        </w:rPr>
      </w:pPr>
      <w:r w:rsidRPr="002113D3">
        <w:rPr>
          <w:rFonts w:ascii="Trebuchet MS" w:eastAsia="Times New Roman" w:hAnsi="Trebuchet MS" w:cs="Times New Roman"/>
          <w:color w:val="1F497D" w:themeColor="text2"/>
          <w:sz w:val="18"/>
          <w:szCs w:val="18"/>
          <w:lang w:val="en"/>
        </w:rPr>
        <w:t xml:space="preserve">MNCM </w:t>
      </w:r>
      <w:r>
        <w:rPr>
          <w:rFonts w:ascii="Trebuchet MS" w:eastAsia="Times New Roman" w:hAnsi="Trebuchet MS" w:cs="Times New Roman"/>
          <w:color w:val="1F497D" w:themeColor="text2"/>
          <w:sz w:val="18"/>
          <w:szCs w:val="18"/>
          <w:lang w:val="en"/>
        </w:rPr>
        <w:t>also calculates rates for tool administration as this measure is dependent on consistent administration of PRO assessment tools to patients.  Prior to any use of these outcome measures, we evaluate the rates of:</w:t>
      </w:r>
    </w:p>
    <w:p w:rsidR="004907BD" w:rsidRDefault="004907BD" w:rsidP="004907BD">
      <w:pPr>
        <w:pStyle w:val="ListParagraph"/>
        <w:numPr>
          <w:ilvl w:val="0"/>
          <w:numId w:val="33"/>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Rate of pre-operative ODI administered within three months prior to the date of procedure</w:t>
      </w:r>
    </w:p>
    <w:p w:rsidR="004907BD" w:rsidRDefault="004907BD" w:rsidP="004907BD">
      <w:pPr>
        <w:pStyle w:val="ListParagraph"/>
        <w:numPr>
          <w:ilvl w:val="0"/>
          <w:numId w:val="33"/>
        </w:numPr>
        <w:spacing w:after="0" w:line="240" w:lineRule="auto"/>
        <w:rPr>
          <w:rFonts w:ascii="Trebuchet MS" w:eastAsia="Times New Roman" w:hAnsi="Trebuchet MS" w:cs="Times New Roman"/>
          <w:color w:val="1F497D" w:themeColor="text2"/>
          <w:sz w:val="18"/>
          <w:szCs w:val="18"/>
          <w:lang w:val="en"/>
        </w:rPr>
      </w:pPr>
      <w:r w:rsidRPr="004907BD">
        <w:rPr>
          <w:rFonts w:ascii="Trebuchet MS" w:eastAsia="Times New Roman" w:hAnsi="Trebuchet MS" w:cs="Times New Roman"/>
          <w:color w:val="1F497D" w:themeColor="text2"/>
          <w:sz w:val="18"/>
          <w:szCs w:val="18"/>
          <w:lang w:val="en"/>
        </w:rPr>
        <w:t>Rate of post-operative ODI administered within nine to fifteen months post-operatively  (one year)</w:t>
      </w:r>
    </w:p>
    <w:p w:rsidR="004907BD" w:rsidRPr="004907BD" w:rsidRDefault="004907BD" w:rsidP="004907BD">
      <w:pPr>
        <w:pStyle w:val="ListParagraph"/>
        <w:numPr>
          <w:ilvl w:val="0"/>
          <w:numId w:val="33"/>
        </w:numPr>
        <w:spacing w:after="0" w:line="240" w:lineRule="auto"/>
        <w:rPr>
          <w:rFonts w:ascii="Trebuchet MS" w:eastAsia="Times New Roman" w:hAnsi="Trebuchet MS" w:cs="Times New Roman"/>
          <w:color w:val="1F497D" w:themeColor="text2"/>
          <w:sz w:val="18"/>
          <w:szCs w:val="18"/>
          <w:lang w:val="en"/>
        </w:rPr>
      </w:pPr>
      <w:r w:rsidRPr="004907BD">
        <w:rPr>
          <w:rFonts w:ascii="Trebuchet MS" w:eastAsia="Times New Roman" w:hAnsi="Trebuchet MS" w:cs="Times New Roman"/>
          <w:color w:val="1F497D" w:themeColor="text2"/>
          <w:sz w:val="18"/>
          <w:szCs w:val="18"/>
          <w:lang w:val="en"/>
        </w:rPr>
        <w:t>Total and rate of patients who have both pre-operative and post-operative tool administration (denominator)</w:t>
      </w:r>
    </w:p>
    <w:p w:rsidR="004907BD" w:rsidRDefault="004907BD" w:rsidP="004907BD">
      <w:pPr>
        <w:spacing w:after="0" w:line="240" w:lineRule="auto"/>
        <w:rPr>
          <w:rFonts w:ascii="Trebuchet MS" w:eastAsia="Times New Roman" w:hAnsi="Trebuchet MS" w:cs="Times New Roman"/>
          <w:color w:val="1F497D" w:themeColor="text2"/>
          <w:sz w:val="18"/>
          <w:szCs w:val="18"/>
          <w:lang w:val="en"/>
        </w:rPr>
      </w:pPr>
    </w:p>
    <w:p w:rsidR="004907BD" w:rsidRDefault="004907BD" w:rsidP="004907BD">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lastRenderedPageBreak/>
        <w:t>During the measure development process, the work group anticipated fairly high rates of pre-operative administration and had an expectation that 70% of patients could be captured post-operatively, based on the percentage of patients they were seeing for a one year post-op visit.  It is noted that a face-to-face visit is not required for a follow-up ODI assessment; mail or email administration is acceptable.</w:t>
      </w:r>
    </w:p>
    <w:p w:rsidR="004907BD" w:rsidRDefault="004907BD" w:rsidP="004907BD">
      <w:pPr>
        <w:spacing w:after="0" w:line="240" w:lineRule="auto"/>
        <w:rPr>
          <w:rFonts w:ascii="Trebuchet MS" w:eastAsia="Times New Roman" w:hAnsi="Trebuchet MS" w:cs="Times New Roman"/>
          <w:color w:val="1F497D" w:themeColor="text2"/>
          <w:sz w:val="18"/>
          <w:szCs w:val="18"/>
          <w:lang w:val="en"/>
        </w:rPr>
      </w:pPr>
    </w:p>
    <w:p w:rsidR="008F7E67" w:rsidRDefault="004907BD" w:rsidP="004907BD">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 xml:space="preserve">Pilot demonstrated rates of pre-op ODI administration at an average of 77.0% (range 61 to 87%) and post-operative one year ODI administration rates at 58.4% (range of 41 to 69%).  The rate of having both pre-operative and post-operative ODI was 47.6%. These were fairly good results for pilot testing of a new measure and it is anticipated that tool administration rates will continue to improve as the measure matures into its implementation phase. </w:t>
      </w:r>
    </w:p>
    <w:p w:rsidR="004907BD" w:rsidRPr="004907BD" w:rsidRDefault="004907BD" w:rsidP="004907BD">
      <w:pPr>
        <w:spacing w:after="0" w:line="240" w:lineRule="auto"/>
        <w:rPr>
          <w:rFonts w:ascii="Trebuchet MS" w:eastAsia="Times New Roman" w:hAnsi="Trebuchet MS" w:cs="Times New Roman"/>
          <w:color w:val="1F497D" w:themeColor="text2"/>
          <w:sz w:val="18"/>
          <w:szCs w:val="18"/>
          <w:lang w:val="en"/>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89F" w:rsidRDefault="008F589F" w:rsidP="005C73CA">
      <w:pPr>
        <w:spacing w:after="0" w:line="240" w:lineRule="auto"/>
      </w:pPr>
      <w:r>
        <w:separator/>
      </w:r>
    </w:p>
  </w:endnote>
  <w:endnote w:type="continuationSeparator" w:id="0">
    <w:p w:rsidR="008F589F" w:rsidRDefault="008F589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9F" w:rsidRDefault="0012454F">
    <w:pPr>
      <w:pStyle w:val="Footer"/>
    </w:pPr>
    <w:r>
      <w:t xml:space="preserve">Version </w:t>
    </w:r>
    <w:proofErr w:type="gramStart"/>
    <w:r>
      <w:t xml:space="preserve">6.5 </w:t>
    </w:r>
    <w:r w:rsidR="003A7DE7">
      <w:t xml:space="preserve"> </w:t>
    </w:r>
    <w:r w:rsidR="008F7E67">
      <w:t>08</w:t>
    </w:r>
    <w:proofErr w:type="gramEnd"/>
    <w:r w:rsidR="008F7E67">
      <w:t>/20/13</w:t>
    </w:r>
    <w:r w:rsidR="008F589F">
      <w:ptab w:relativeTo="margin" w:alignment="center" w:leader="none"/>
    </w:r>
    <w:r w:rsidR="008F589F">
      <w:ptab w:relativeTo="margin" w:alignment="right" w:leader="none"/>
    </w:r>
    <w:r w:rsidR="008F589F">
      <w:fldChar w:fldCharType="begin"/>
    </w:r>
    <w:r w:rsidR="008F589F">
      <w:instrText xml:space="preserve"> PAGE   \* MERGEFORMAT </w:instrText>
    </w:r>
    <w:r w:rsidR="008F589F">
      <w:fldChar w:fldCharType="separate"/>
    </w:r>
    <w:r w:rsidR="00B266BE">
      <w:rPr>
        <w:noProof/>
      </w:rPr>
      <w:t>1</w:t>
    </w:r>
    <w:r w:rsidR="008F589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89F" w:rsidRDefault="008F589F" w:rsidP="005C73CA">
      <w:pPr>
        <w:spacing w:after="0" w:line="240" w:lineRule="auto"/>
      </w:pPr>
      <w:r>
        <w:separator/>
      </w:r>
    </w:p>
  </w:footnote>
  <w:footnote w:type="continuationSeparator" w:id="0">
    <w:p w:rsidR="008F589F" w:rsidRDefault="008F589F"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9F" w:rsidRPr="00105D8B" w:rsidRDefault="008F589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90D6A1C"/>
    <w:multiLevelType w:val="hybridMultilevel"/>
    <w:tmpl w:val="EBA6C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2E0097"/>
    <w:multiLevelType w:val="hybridMultilevel"/>
    <w:tmpl w:val="957AD2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B17A09"/>
    <w:multiLevelType w:val="hybridMultilevel"/>
    <w:tmpl w:val="BC0EE9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C3A0D6C"/>
    <w:multiLevelType w:val="hybridMultilevel"/>
    <w:tmpl w:val="0C686F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EAA641A"/>
    <w:multiLevelType w:val="hybridMultilevel"/>
    <w:tmpl w:val="69705D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D373945"/>
    <w:multiLevelType w:val="hybridMultilevel"/>
    <w:tmpl w:val="A232E8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DD2203"/>
    <w:multiLevelType w:val="hybridMultilevel"/>
    <w:tmpl w:val="4956D24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E2D48FB"/>
    <w:multiLevelType w:val="hybridMultilevel"/>
    <w:tmpl w:val="22602B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2"/>
  </w:num>
  <w:num w:numId="4">
    <w:abstractNumId w:val="6"/>
  </w:num>
  <w:num w:numId="5">
    <w:abstractNumId w:val="1"/>
  </w:num>
  <w:num w:numId="6">
    <w:abstractNumId w:val="0"/>
  </w:num>
  <w:num w:numId="7">
    <w:abstractNumId w:val="3"/>
  </w:num>
  <w:num w:numId="8">
    <w:abstractNumId w:val="25"/>
  </w:num>
  <w:num w:numId="9">
    <w:abstractNumId w:val="12"/>
  </w:num>
  <w:num w:numId="10">
    <w:abstractNumId w:val="31"/>
  </w:num>
  <w:num w:numId="11">
    <w:abstractNumId w:val="15"/>
  </w:num>
  <w:num w:numId="12">
    <w:abstractNumId w:val="29"/>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1"/>
  </w:num>
  <w:num w:numId="17">
    <w:abstractNumId w:val="30"/>
  </w:num>
  <w:num w:numId="18">
    <w:abstractNumId w:val="27"/>
  </w:num>
  <w:num w:numId="19">
    <w:abstractNumId w:val="26"/>
  </w:num>
  <w:num w:numId="20">
    <w:abstractNumId w:val="19"/>
  </w:num>
  <w:num w:numId="21">
    <w:abstractNumId w:val="23"/>
  </w:num>
  <w:num w:numId="22">
    <w:abstractNumId w:val="18"/>
  </w:num>
  <w:num w:numId="23">
    <w:abstractNumId w:val="9"/>
  </w:num>
  <w:num w:numId="24">
    <w:abstractNumId w:val="17"/>
  </w:num>
  <w:num w:numId="25">
    <w:abstractNumId w:val="16"/>
  </w:num>
  <w:num w:numId="26">
    <w:abstractNumId w:val="32"/>
  </w:num>
  <w:num w:numId="27">
    <w:abstractNumId w:val="24"/>
  </w:num>
  <w:num w:numId="28">
    <w:abstractNumId w:val="8"/>
  </w:num>
  <w:num w:numId="29">
    <w:abstractNumId w:val="28"/>
  </w:num>
  <w:num w:numId="30">
    <w:abstractNumId w:val="14"/>
  </w:num>
  <w:num w:numId="31">
    <w:abstractNumId w:val="4"/>
  </w:num>
  <w:num w:numId="32">
    <w:abstractNumId w:val="20"/>
  </w:num>
  <w:num w:numId="33">
    <w:abstractNumId w:val="7"/>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ocumentProtection w:edit="forms" w:enforcement="0"/>
  <w:defaultTabStop w:val="720"/>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69A8"/>
    <w:rsid w:val="001969C5"/>
    <w:rsid w:val="001A6CDD"/>
    <w:rsid w:val="001C12EE"/>
    <w:rsid w:val="001C7B02"/>
    <w:rsid w:val="001E4DD4"/>
    <w:rsid w:val="001E69DC"/>
    <w:rsid w:val="001F169D"/>
    <w:rsid w:val="001F1DA1"/>
    <w:rsid w:val="001F6F93"/>
    <w:rsid w:val="001F7A20"/>
    <w:rsid w:val="00204DD9"/>
    <w:rsid w:val="0021195A"/>
    <w:rsid w:val="00213383"/>
    <w:rsid w:val="00220250"/>
    <w:rsid w:val="0022691B"/>
    <w:rsid w:val="00232163"/>
    <w:rsid w:val="002376F8"/>
    <w:rsid w:val="002408E4"/>
    <w:rsid w:val="00241591"/>
    <w:rsid w:val="00250B4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2FE3"/>
    <w:rsid w:val="0037545D"/>
    <w:rsid w:val="003755CB"/>
    <w:rsid w:val="00383F85"/>
    <w:rsid w:val="003A306C"/>
    <w:rsid w:val="003A7DE7"/>
    <w:rsid w:val="003B1006"/>
    <w:rsid w:val="003C5F11"/>
    <w:rsid w:val="003D6401"/>
    <w:rsid w:val="003E1863"/>
    <w:rsid w:val="0041606D"/>
    <w:rsid w:val="00416962"/>
    <w:rsid w:val="004348CC"/>
    <w:rsid w:val="004658FF"/>
    <w:rsid w:val="00474ED7"/>
    <w:rsid w:val="004756E1"/>
    <w:rsid w:val="0048008A"/>
    <w:rsid w:val="00483E94"/>
    <w:rsid w:val="00484120"/>
    <w:rsid w:val="004853A0"/>
    <w:rsid w:val="004907BD"/>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3861"/>
    <w:rsid w:val="006574D2"/>
    <w:rsid w:val="006676D4"/>
    <w:rsid w:val="00675535"/>
    <w:rsid w:val="00681359"/>
    <w:rsid w:val="006827FF"/>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1359"/>
    <w:rsid w:val="007B2069"/>
    <w:rsid w:val="007C04A1"/>
    <w:rsid w:val="007C21FA"/>
    <w:rsid w:val="007D4351"/>
    <w:rsid w:val="007D7019"/>
    <w:rsid w:val="007E18DB"/>
    <w:rsid w:val="007E6F1C"/>
    <w:rsid w:val="007F4740"/>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336B"/>
    <w:rsid w:val="00884486"/>
    <w:rsid w:val="008871A9"/>
    <w:rsid w:val="008916BA"/>
    <w:rsid w:val="00892176"/>
    <w:rsid w:val="008A1DB7"/>
    <w:rsid w:val="008A403A"/>
    <w:rsid w:val="008A4C13"/>
    <w:rsid w:val="008A5EE1"/>
    <w:rsid w:val="008B604D"/>
    <w:rsid w:val="008C54A9"/>
    <w:rsid w:val="008E67C3"/>
    <w:rsid w:val="008F589F"/>
    <w:rsid w:val="008F76A9"/>
    <w:rsid w:val="008F7E67"/>
    <w:rsid w:val="00900DBF"/>
    <w:rsid w:val="009048B9"/>
    <w:rsid w:val="00904E91"/>
    <w:rsid w:val="00915886"/>
    <w:rsid w:val="009214DC"/>
    <w:rsid w:val="00927027"/>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671B"/>
    <w:rsid w:val="009E78FF"/>
    <w:rsid w:val="00A01494"/>
    <w:rsid w:val="00A22FA9"/>
    <w:rsid w:val="00A25024"/>
    <w:rsid w:val="00A35F8F"/>
    <w:rsid w:val="00A41377"/>
    <w:rsid w:val="00A4263D"/>
    <w:rsid w:val="00A509B8"/>
    <w:rsid w:val="00A52AB9"/>
    <w:rsid w:val="00A6210B"/>
    <w:rsid w:val="00A7323A"/>
    <w:rsid w:val="00A831B4"/>
    <w:rsid w:val="00A97798"/>
    <w:rsid w:val="00AA5213"/>
    <w:rsid w:val="00AA65A6"/>
    <w:rsid w:val="00AC1D8E"/>
    <w:rsid w:val="00AC48FA"/>
    <w:rsid w:val="00AD0240"/>
    <w:rsid w:val="00AD4137"/>
    <w:rsid w:val="00B037BA"/>
    <w:rsid w:val="00B20139"/>
    <w:rsid w:val="00B218DA"/>
    <w:rsid w:val="00B266BE"/>
    <w:rsid w:val="00B342FA"/>
    <w:rsid w:val="00B362E1"/>
    <w:rsid w:val="00B53E8B"/>
    <w:rsid w:val="00B774D2"/>
    <w:rsid w:val="00B8015A"/>
    <w:rsid w:val="00B82A57"/>
    <w:rsid w:val="00BA053B"/>
    <w:rsid w:val="00BB35AE"/>
    <w:rsid w:val="00BC03A1"/>
    <w:rsid w:val="00BC0D25"/>
    <w:rsid w:val="00BD1F0B"/>
    <w:rsid w:val="00BD2505"/>
    <w:rsid w:val="00BE592D"/>
    <w:rsid w:val="00BF52B0"/>
    <w:rsid w:val="00BF5697"/>
    <w:rsid w:val="00C14CCC"/>
    <w:rsid w:val="00C22C1C"/>
    <w:rsid w:val="00C33F2E"/>
    <w:rsid w:val="00C34936"/>
    <w:rsid w:val="00C34C14"/>
    <w:rsid w:val="00C355B9"/>
    <w:rsid w:val="00C401C4"/>
    <w:rsid w:val="00C41680"/>
    <w:rsid w:val="00C60A25"/>
    <w:rsid w:val="00C765C5"/>
    <w:rsid w:val="00C82479"/>
    <w:rsid w:val="00C867F0"/>
    <w:rsid w:val="00CA06D8"/>
    <w:rsid w:val="00CA2FA0"/>
    <w:rsid w:val="00CA345A"/>
    <w:rsid w:val="00CB49FF"/>
    <w:rsid w:val="00CC02CF"/>
    <w:rsid w:val="00CC086A"/>
    <w:rsid w:val="00CD0F66"/>
    <w:rsid w:val="00CD364B"/>
    <w:rsid w:val="00CE23B8"/>
    <w:rsid w:val="00CE33C6"/>
    <w:rsid w:val="00CE50D7"/>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C4746"/>
    <w:rsid w:val="00DE7149"/>
    <w:rsid w:val="00E0314C"/>
    <w:rsid w:val="00E1508F"/>
    <w:rsid w:val="00E27240"/>
    <w:rsid w:val="00E27EDD"/>
    <w:rsid w:val="00E30584"/>
    <w:rsid w:val="00E310B9"/>
    <w:rsid w:val="00E37E1B"/>
    <w:rsid w:val="00E562C0"/>
    <w:rsid w:val="00E672D6"/>
    <w:rsid w:val="00E716A3"/>
    <w:rsid w:val="00E76024"/>
    <w:rsid w:val="00E856A2"/>
    <w:rsid w:val="00E96884"/>
    <w:rsid w:val="00EA5435"/>
    <w:rsid w:val="00EA5F47"/>
    <w:rsid w:val="00EC79DE"/>
    <w:rsid w:val="00ED4ACE"/>
    <w:rsid w:val="00EE4D35"/>
    <w:rsid w:val="00EF2DA7"/>
    <w:rsid w:val="00F435AA"/>
    <w:rsid w:val="00F5738A"/>
    <w:rsid w:val="00F612D4"/>
    <w:rsid w:val="00F77F1D"/>
    <w:rsid w:val="00F87CCB"/>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CA2FA0"/>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rsid w:val="00CA2FA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nhealthscores.or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F052A"/>
    <w:rsid w:val="00350176"/>
    <w:rsid w:val="003840F0"/>
    <w:rsid w:val="00437537"/>
    <w:rsid w:val="0053654E"/>
    <w:rsid w:val="00632A7E"/>
    <w:rsid w:val="00632AB6"/>
    <w:rsid w:val="00730B33"/>
    <w:rsid w:val="00772B2A"/>
    <w:rsid w:val="007C672A"/>
    <w:rsid w:val="007D4368"/>
    <w:rsid w:val="00822666"/>
    <w:rsid w:val="00823ECC"/>
    <w:rsid w:val="00866C97"/>
    <w:rsid w:val="009017AE"/>
    <w:rsid w:val="009C542D"/>
    <w:rsid w:val="00A95183"/>
    <w:rsid w:val="00AB4AF7"/>
    <w:rsid w:val="00AD7C4F"/>
    <w:rsid w:val="00B445F5"/>
    <w:rsid w:val="00BD40CB"/>
    <w:rsid w:val="00C362A2"/>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11</Pages>
  <Words>5899</Words>
  <Characters>33629</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39450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Collette Pitzen</cp:lastModifiedBy>
  <cp:revision>10</cp:revision>
  <dcterms:created xsi:type="dcterms:W3CDTF">2014-10-20T16:32:00Z</dcterms:created>
  <dcterms:modified xsi:type="dcterms:W3CDTF">2014-10-21T18:47:00Z</dcterms:modified>
</cp:coreProperties>
</file>